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00FF2341" w:rsidRPr="0055329C" w:rsidTr="00DB5202">
        <w:trPr>
          <w:cantSplit/>
          <w:jc w:val="center"/>
        </w:trPr>
        <w:tc>
          <w:tcPr>
            <w:tcW w:w="537" w:type="dxa"/>
            <w:tcBorders>
              <w:bottom w:val="nil"/>
              <w:right w:val="nil"/>
            </w:tcBorders>
            <w:shd w:val="pct20" w:color="000000" w:fill="FFFFFF"/>
          </w:tcPr>
          <w:p w:rsidR="00FF2341" w:rsidRPr="001A4D8C" w:rsidRDefault="00FF2341" w:rsidP="00DB5202">
            <w:pPr>
              <w:pStyle w:val="Tekstkomentarza"/>
              <w:widowControl/>
              <w:rPr>
                <w:rFonts w:ascii="Times New Roman" w:hAnsi="Times New Roman" w:cs="Times New Roman"/>
              </w:rPr>
            </w:pPr>
          </w:p>
        </w:tc>
        <w:tc>
          <w:tcPr>
            <w:tcW w:w="5795" w:type="dxa"/>
            <w:tcBorders>
              <w:left w:val="nil"/>
              <w:right w:val="nil"/>
            </w:tcBorders>
            <w:shd w:val="pct20" w:color="000000" w:fill="FFFFFF"/>
          </w:tcPr>
          <w:p w:rsidR="00FF2341" w:rsidRPr="001A4D8C" w:rsidRDefault="00FF2341" w:rsidP="00DB5202">
            <w:pPr>
              <w:rPr>
                <w:b/>
              </w:rPr>
            </w:pPr>
          </w:p>
          <w:p w:rsidR="00FF2341" w:rsidRPr="001A4D8C" w:rsidRDefault="00FF2341" w:rsidP="00DB5202">
            <w:pPr>
              <w:rPr>
                <w:b/>
              </w:rPr>
            </w:pPr>
          </w:p>
          <w:p w:rsidR="00FF2341" w:rsidRPr="001A4D8C" w:rsidRDefault="00FF2341" w:rsidP="00DB5202">
            <w:pPr>
              <w:rPr>
                <w:b/>
              </w:rPr>
            </w:pPr>
          </w:p>
        </w:tc>
        <w:tc>
          <w:tcPr>
            <w:tcW w:w="2741" w:type="dxa"/>
            <w:tcBorders>
              <w:left w:val="nil"/>
              <w:right w:val="nil"/>
            </w:tcBorders>
            <w:shd w:val="pct20" w:color="000000" w:fill="FFFFFF"/>
          </w:tcPr>
          <w:p w:rsidR="00FF2341" w:rsidRPr="001A4D8C" w:rsidRDefault="00FF2341" w:rsidP="00DB5202"/>
        </w:tc>
        <w:tc>
          <w:tcPr>
            <w:tcW w:w="566" w:type="dxa"/>
            <w:tcBorders>
              <w:left w:val="nil"/>
              <w:bottom w:val="nil"/>
            </w:tcBorders>
            <w:shd w:val="pct20" w:color="000000" w:fill="FFFFFF"/>
          </w:tcPr>
          <w:p w:rsidR="00FF2341" w:rsidRPr="001A4D8C" w:rsidRDefault="00FF2341" w:rsidP="00DB5202"/>
        </w:tc>
      </w:tr>
      <w:tr w:rsidR="00FF2341" w:rsidRPr="0055329C" w:rsidTr="00DB5202">
        <w:trPr>
          <w:cantSplit/>
          <w:trHeight w:val="616"/>
          <w:jc w:val="center"/>
        </w:trPr>
        <w:tc>
          <w:tcPr>
            <w:tcW w:w="537" w:type="dxa"/>
            <w:tcBorders>
              <w:top w:val="nil"/>
              <w:bottom w:val="nil"/>
            </w:tcBorders>
            <w:shd w:val="pct20" w:color="000000" w:fill="FFFFFF"/>
          </w:tcPr>
          <w:p w:rsidR="00FF2341" w:rsidRPr="001A4D8C" w:rsidRDefault="00FF2341" w:rsidP="00DB5202"/>
        </w:tc>
        <w:tc>
          <w:tcPr>
            <w:tcW w:w="5795" w:type="dxa"/>
            <w:tcBorders>
              <w:top w:val="nil"/>
              <w:bottom w:val="nil"/>
              <w:right w:val="nil"/>
            </w:tcBorders>
          </w:tcPr>
          <w:p w:rsidR="00FF2341" w:rsidRPr="001A4D8C" w:rsidRDefault="00FF2341" w:rsidP="00DB5202">
            <w:pPr>
              <w:rPr>
                <w:sz w:val="6"/>
                <w:szCs w:val="6"/>
              </w:rPr>
            </w:pPr>
          </w:p>
          <w:p w:rsidR="00FF2341" w:rsidRPr="001A4D8C" w:rsidRDefault="00FF2341" w:rsidP="00DB5202">
            <w:pPr>
              <w:pStyle w:val="Tekstkomentarza"/>
              <w:widowControl/>
              <w:rPr>
                <w:rFonts w:ascii="Times New Roman" w:hAnsi="Times New Roman" w:cs="Times New Roman"/>
              </w:rPr>
            </w:pPr>
            <w:r>
              <w:rPr>
                <w:rFonts w:ascii="Fira Sans" w:hAnsi="Fira Sans"/>
                <w:sz w:val="19"/>
                <w:szCs w:val="19"/>
              </w:rPr>
              <w:fldChar w:fldCharType="begin"/>
            </w:r>
            <w:r>
              <w:rPr>
                <w:rFonts w:ascii="Fira Sans" w:hAnsi="Fira Sans"/>
                <w:sz w:val="19"/>
                <w:szCs w:val="19"/>
              </w:rPr>
              <w:instrText xml:space="preserve"> INCLUDEPICTURE  "cid:image001.png@01D4865C.6E94B660" \* MERGEFORMATINET </w:instrText>
            </w:r>
            <w:r>
              <w:rPr>
                <w:rFonts w:ascii="Fira Sans" w:hAnsi="Fira Sans"/>
                <w:sz w:val="19"/>
                <w:szCs w:val="19"/>
              </w:rPr>
              <w:fldChar w:fldCharType="separate"/>
            </w:r>
            <w:r>
              <w:rPr>
                <w:rFonts w:ascii="Fira Sans" w:hAnsi="Fira Sans"/>
                <w:sz w:val="19"/>
                <w:szCs w:val="19"/>
              </w:rPr>
              <w:fldChar w:fldCharType="begin"/>
            </w:r>
            <w:r>
              <w:rPr>
                <w:rFonts w:ascii="Fira Sans" w:hAnsi="Fira Sans"/>
                <w:sz w:val="19"/>
                <w:szCs w:val="19"/>
              </w:rPr>
              <w:instrText xml:space="preserve"> INCLUDEPICTURE  "cid:image001.png@01D4865C.6E94B660" \* MERGEFORMATINET </w:instrText>
            </w:r>
            <w:r>
              <w:rPr>
                <w:rFonts w:ascii="Fira Sans" w:hAnsi="Fira Sans"/>
                <w:sz w:val="19"/>
                <w:szCs w:val="19"/>
              </w:rPr>
              <w:fldChar w:fldCharType="separate"/>
            </w:r>
            <w:r>
              <w:rPr>
                <w:rFonts w:ascii="Fira Sans" w:hAnsi="Fira Sans"/>
                <w:sz w:val="19"/>
                <w:szCs w:val="19"/>
              </w:rPr>
              <w:fldChar w:fldCharType="begin"/>
            </w:r>
            <w:r>
              <w:rPr>
                <w:rFonts w:ascii="Fira Sans" w:hAnsi="Fira Sans"/>
                <w:sz w:val="19"/>
                <w:szCs w:val="19"/>
              </w:rPr>
              <w:instrText xml:space="preserve"> INCLUDEPICTURE  "cid:image001.png@01D4865C.6E94B660" \* MERGEFORMATINET </w:instrText>
            </w:r>
            <w:r>
              <w:rPr>
                <w:rFonts w:ascii="Fira Sans" w:hAnsi="Fira Sans"/>
                <w:sz w:val="19"/>
                <w:szCs w:val="19"/>
              </w:rPr>
              <w:fldChar w:fldCharType="separate"/>
            </w:r>
            <w:r>
              <w:rPr>
                <w:rFonts w:ascii="Fira Sans" w:hAnsi="Fira Sans"/>
                <w:sz w:val="19"/>
                <w:szCs w:val="19"/>
              </w:rPr>
              <w:fldChar w:fldCharType="begin"/>
            </w:r>
            <w:r>
              <w:rPr>
                <w:rFonts w:ascii="Fira Sans" w:hAnsi="Fira Sans"/>
                <w:sz w:val="19"/>
                <w:szCs w:val="19"/>
              </w:rPr>
              <w:instrText xml:space="preserve"> INCLUDEPICTURE  "cid:image001.png@01D4865C.6E94B660" \* MERGEFORMATINET </w:instrText>
            </w:r>
            <w:r>
              <w:rPr>
                <w:rFonts w:ascii="Fira Sans" w:hAnsi="Fira Sans"/>
                <w:sz w:val="19"/>
                <w:szCs w:val="19"/>
              </w:rPr>
              <w:fldChar w:fldCharType="separate"/>
            </w:r>
            <w:r>
              <w:rPr>
                <w:rFonts w:ascii="Fira Sans" w:hAnsi="Fira Sans"/>
                <w:sz w:val="19"/>
                <w:szCs w:val="19"/>
              </w:rPr>
              <w:fldChar w:fldCharType="begin"/>
            </w:r>
            <w:r>
              <w:rPr>
                <w:rFonts w:ascii="Fira Sans" w:hAnsi="Fira Sans"/>
                <w:sz w:val="19"/>
                <w:szCs w:val="19"/>
              </w:rPr>
              <w:instrText xml:space="preserve"> INCLUDEPICTURE  "cid:image001.png@01D4865C.6E94B660" \* MERGEFORMATINET </w:instrText>
            </w:r>
            <w:r>
              <w:rPr>
                <w:rFonts w:ascii="Fira Sans" w:hAnsi="Fira Sans"/>
                <w:sz w:val="19"/>
                <w:szCs w:val="19"/>
              </w:rPr>
              <w:fldChar w:fldCharType="separate"/>
            </w:r>
            <w:r w:rsidRPr="007658F8">
              <w:rPr>
                <w:rFonts w:ascii="Fira Sans" w:hAnsi="Fira Sans"/>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7pt">
                  <v:imagedata r:id="rId5" r:href="rId6"/>
                </v:shape>
              </w:pict>
            </w:r>
            <w:r>
              <w:rPr>
                <w:rFonts w:ascii="Fira Sans" w:hAnsi="Fira Sans"/>
                <w:sz w:val="19"/>
                <w:szCs w:val="19"/>
              </w:rPr>
              <w:fldChar w:fldCharType="end"/>
            </w:r>
            <w:r>
              <w:rPr>
                <w:rFonts w:ascii="Fira Sans" w:hAnsi="Fira Sans"/>
                <w:sz w:val="19"/>
                <w:szCs w:val="19"/>
              </w:rPr>
              <w:fldChar w:fldCharType="end"/>
            </w:r>
            <w:r>
              <w:rPr>
                <w:rFonts w:ascii="Fira Sans" w:hAnsi="Fira Sans"/>
                <w:sz w:val="19"/>
                <w:szCs w:val="19"/>
              </w:rPr>
              <w:fldChar w:fldCharType="end"/>
            </w:r>
            <w:r>
              <w:rPr>
                <w:rFonts w:ascii="Fira Sans" w:hAnsi="Fira Sans"/>
                <w:sz w:val="19"/>
                <w:szCs w:val="19"/>
              </w:rPr>
              <w:fldChar w:fldCharType="end"/>
            </w:r>
            <w:r>
              <w:rPr>
                <w:rFonts w:ascii="Fira Sans" w:hAnsi="Fira Sans"/>
                <w:sz w:val="19"/>
                <w:szCs w:val="19"/>
              </w:rPr>
              <w:fldChar w:fldCharType="end"/>
            </w:r>
          </w:p>
        </w:tc>
        <w:tc>
          <w:tcPr>
            <w:tcW w:w="2741" w:type="dxa"/>
            <w:tcBorders>
              <w:top w:val="nil"/>
              <w:left w:val="nil"/>
              <w:bottom w:val="nil"/>
            </w:tcBorders>
          </w:tcPr>
          <w:p w:rsidR="00FF2341" w:rsidRPr="001A4D8C" w:rsidRDefault="00FF2341" w:rsidP="00DB5202">
            <w:pPr>
              <w:ind w:left="215"/>
              <w:jc w:val="center"/>
              <w:rPr>
                <w:i/>
                <w:iCs/>
              </w:rPr>
            </w:pPr>
          </w:p>
        </w:tc>
        <w:tc>
          <w:tcPr>
            <w:tcW w:w="566" w:type="dxa"/>
            <w:tcBorders>
              <w:top w:val="nil"/>
              <w:bottom w:val="nil"/>
            </w:tcBorders>
            <w:shd w:val="pct20" w:color="000000" w:fill="FFFFFF"/>
          </w:tcPr>
          <w:p w:rsidR="00FF2341" w:rsidRPr="001A4D8C" w:rsidRDefault="00FF2341" w:rsidP="00DB5202"/>
        </w:tc>
      </w:tr>
      <w:tr w:rsidR="00FF2341" w:rsidRPr="00D0728F" w:rsidTr="00DB5202">
        <w:trPr>
          <w:cantSplit/>
          <w:jc w:val="center"/>
        </w:trPr>
        <w:tc>
          <w:tcPr>
            <w:tcW w:w="537" w:type="dxa"/>
            <w:tcBorders>
              <w:top w:val="nil"/>
              <w:bottom w:val="nil"/>
            </w:tcBorders>
            <w:shd w:val="pct20" w:color="000000" w:fill="FFFFFF"/>
          </w:tcPr>
          <w:p w:rsidR="00FF2341" w:rsidRPr="001A4D8C" w:rsidRDefault="00FF2341" w:rsidP="00DB5202"/>
        </w:tc>
        <w:tc>
          <w:tcPr>
            <w:tcW w:w="8536" w:type="dxa"/>
            <w:gridSpan w:val="2"/>
            <w:tcBorders>
              <w:top w:val="nil"/>
              <w:bottom w:val="nil"/>
            </w:tcBorders>
          </w:tcPr>
          <w:p w:rsidR="00FF2341" w:rsidRPr="001A4D8C" w:rsidRDefault="00FF2341" w:rsidP="00DB5202"/>
          <w:p w:rsidR="00FF2341" w:rsidRPr="001A4D8C" w:rsidRDefault="00FF2341" w:rsidP="00DB5202">
            <w:pPr>
              <w:ind w:left="5176"/>
            </w:pPr>
          </w:p>
          <w:p w:rsidR="00FF2341" w:rsidRPr="001A4D8C" w:rsidRDefault="00FF2341" w:rsidP="00DB5202">
            <w:pPr>
              <w:spacing w:before="360"/>
              <w:rPr>
                <w:b/>
                <w:bCs/>
                <w:sz w:val="56"/>
                <w:szCs w:val="56"/>
              </w:rPr>
            </w:pPr>
          </w:p>
          <w:p w:rsidR="00FF2341" w:rsidRPr="007E1832" w:rsidRDefault="00FF2341" w:rsidP="00DB5202">
            <w:pPr>
              <w:spacing w:before="360"/>
              <w:jc w:val="center"/>
              <w:rPr>
                <w:rFonts w:ascii="Fira Sans" w:hAnsi="Fira Sans"/>
                <w:b/>
                <w:bCs/>
                <w:sz w:val="44"/>
                <w:szCs w:val="44"/>
              </w:rPr>
            </w:pPr>
            <w:r w:rsidRPr="007E1832">
              <w:rPr>
                <w:rFonts w:ascii="Fira Sans" w:hAnsi="Fira Sans"/>
                <w:b/>
                <w:bCs/>
                <w:sz w:val="44"/>
                <w:szCs w:val="44"/>
              </w:rPr>
              <w:t>Prace</w:t>
            </w:r>
          </w:p>
          <w:p w:rsidR="00FF2341" w:rsidRPr="007E1832" w:rsidRDefault="00FF2341" w:rsidP="00DB5202">
            <w:pPr>
              <w:spacing w:before="360"/>
              <w:jc w:val="center"/>
              <w:rPr>
                <w:rFonts w:ascii="Fira Sans" w:hAnsi="Fira Sans"/>
                <w:b/>
                <w:bCs/>
                <w:sz w:val="44"/>
                <w:szCs w:val="44"/>
              </w:rPr>
            </w:pPr>
            <w:r w:rsidRPr="007E1832">
              <w:rPr>
                <w:rFonts w:ascii="Fira Sans" w:hAnsi="Fira Sans"/>
                <w:b/>
                <w:bCs/>
                <w:sz w:val="44"/>
                <w:szCs w:val="44"/>
              </w:rPr>
              <w:t>metodologiczne</w:t>
            </w:r>
          </w:p>
          <w:p w:rsidR="00FF2341" w:rsidRPr="007E1832" w:rsidRDefault="00FF2341" w:rsidP="00DB5202">
            <w:pPr>
              <w:spacing w:before="360"/>
              <w:jc w:val="center"/>
              <w:rPr>
                <w:rFonts w:ascii="Fira Sans" w:hAnsi="Fira Sans"/>
                <w:b/>
                <w:bCs/>
                <w:sz w:val="44"/>
                <w:szCs w:val="44"/>
              </w:rPr>
            </w:pPr>
            <w:r>
              <w:rPr>
                <w:rFonts w:ascii="Fira Sans" w:hAnsi="Fira Sans"/>
                <w:b/>
                <w:bCs/>
                <w:sz w:val="44"/>
                <w:szCs w:val="44"/>
              </w:rPr>
              <w:t>2019</w:t>
            </w:r>
          </w:p>
          <w:p w:rsidR="00FF2341" w:rsidRPr="001A4D8C"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Pr="003A2A0E" w:rsidRDefault="00FF2341" w:rsidP="00DB5202"/>
          <w:p w:rsidR="00FF2341" w:rsidRPr="00C174FD" w:rsidRDefault="00FF2341" w:rsidP="00DB5202">
            <w:pPr>
              <w:jc w:val="center"/>
              <w:rPr>
                <w:rFonts w:ascii="Fira Sans" w:hAnsi="Fira Sans"/>
                <w:b/>
                <w:bCs/>
                <w:sz w:val="19"/>
                <w:szCs w:val="19"/>
              </w:rPr>
            </w:pPr>
          </w:p>
          <w:p w:rsidR="00FF2341" w:rsidRPr="001A4D8C" w:rsidRDefault="00FF2341" w:rsidP="00DB5202">
            <w:pPr>
              <w:jc w:val="center"/>
              <w:rPr>
                <w:i/>
                <w:iCs/>
              </w:rPr>
            </w:pPr>
            <w:r w:rsidRPr="00C174FD">
              <w:rPr>
                <w:rFonts w:ascii="Fira Sans" w:hAnsi="Fira Sans"/>
                <w:iCs/>
                <w:sz w:val="19"/>
                <w:szCs w:val="19"/>
              </w:rPr>
              <w:t xml:space="preserve">Warszawa, </w:t>
            </w:r>
            <w:r>
              <w:rPr>
                <w:rFonts w:ascii="Fira Sans" w:hAnsi="Fira Sans"/>
                <w:iCs/>
                <w:sz w:val="19"/>
                <w:szCs w:val="19"/>
              </w:rPr>
              <w:t>listopad</w:t>
            </w:r>
            <w:r w:rsidRPr="00C174FD">
              <w:rPr>
                <w:rFonts w:ascii="Fira Sans" w:hAnsi="Fira Sans"/>
                <w:iCs/>
                <w:sz w:val="19"/>
                <w:szCs w:val="19"/>
              </w:rPr>
              <w:t xml:space="preserve"> 2018 r.</w:t>
            </w:r>
          </w:p>
          <w:p w:rsidR="00FF2341" w:rsidRPr="001A4D8C" w:rsidRDefault="00FF2341" w:rsidP="00DB5202">
            <w:pPr>
              <w:keepNext/>
            </w:pPr>
          </w:p>
        </w:tc>
        <w:tc>
          <w:tcPr>
            <w:tcW w:w="566" w:type="dxa"/>
            <w:tcBorders>
              <w:top w:val="nil"/>
              <w:bottom w:val="nil"/>
            </w:tcBorders>
            <w:shd w:val="pct20" w:color="000000" w:fill="FFFFFF"/>
          </w:tcPr>
          <w:p w:rsidR="00FF2341" w:rsidRPr="001A4D8C" w:rsidRDefault="00FF2341" w:rsidP="00DB5202"/>
        </w:tc>
      </w:tr>
      <w:tr w:rsidR="00FF2341" w:rsidRPr="0055329C" w:rsidTr="00DB5202">
        <w:trPr>
          <w:cantSplit/>
          <w:jc w:val="center"/>
        </w:trPr>
        <w:tc>
          <w:tcPr>
            <w:tcW w:w="537" w:type="dxa"/>
            <w:tcBorders>
              <w:top w:val="nil"/>
              <w:right w:val="nil"/>
            </w:tcBorders>
            <w:shd w:val="pct20" w:color="000000" w:fill="FFFFFF"/>
          </w:tcPr>
          <w:p w:rsidR="00FF2341" w:rsidRPr="001A4D8C" w:rsidRDefault="00FF2341" w:rsidP="00DB5202">
            <w:r w:rsidRPr="001A4D8C">
              <w:br w:type="page"/>
            </w:r>
          </w:p>
          <w:p w:rsidR="00FF2341" w:rsidRPr="001A4D8C" w:rsidRDefault="00FF2341" w:rsidP="00DB5202"/>
        </w:tc>
        <w:tc>
          <w:tcPr>
            <w:tcW w:w="5795" w:type="dxa"/>
            <w:tcBorders>
              <w:left w:val="nil"/>
              <w:right w:val="nil"/>
            </w:tcBorders>
            <w:shd w:val="pct20" w:color="000000" w:fill="FFFFFF"/>
          </w:tcPr>
          <w:p w:rsidR="00FF2341" w:rsidRPr="001A4D8C" w:rsidRDefault="00FF2341" w:rsidP="00DB5202"/>
        </w:tc>
        <w:tc>
          <w:tcPr>
            <w:tcW w:w="2741" w:type="dxa"/>
            <w:tcBorders>
              <w:left w:val="nil"/>
              <w:right w:val="nil"/>
            </w:tcBorders>
            <w:shd w:val="pct20" w:color="000000" w:fill="FFFFFF"/>
          </w:tcPr>
          <w:p w:rsidR="00FF2341" w:rsidRPr="001A4D8C" w:rsidRDefault="00FF2341" w:rsidP="00DB5202"/>
        </w:tc>
        <w:tc>
          <w:tcPr>
            <w:tcW w:w="566" w:type="dxa"/>
            <w:tcBorders>
              <w:top w:val="nil"/>
              <w:left w:val="nil"/>
            </w:tcBorders>
            <w:shd w:val="pct20" w:color="000000" w:fill="FFFFFF"/>
          </w:tcPr>
          <w:p w:rsidR="00FF2341" w:rsidRPr="001A4D8C" w:rsidRDefault="00FF2341" w:rsidP="00DB5202"/>
        </w:tc>
      </w:tr>
    </w:tbl>
    <w:p w:rsidR="00FF2341" w:rsidRDefault="00FF2341" w:rsidP="00FF2341"/>
    <w:p w:rsidR="00FF2341" w:rsidRDefault="00FF2341" w:rsidP="00FF2341"/>
    <w:p w:rsidR="00FF2341" w:rsidRDefault="00FF2341" w:rsidP="00FF2341">
      <w:r>
        <w:br w:type="page"/>
      </w:r>
    </w:p>
    <w:p w:rsidR="00FF2341" w:rsidRPr="004A21B1" w:rsidRDefault="00FF2341" w:rsidP="00FF2341">
      <w:pPr>
        <w:jc w:val="both"/>
        <w:rPr>
          <w:rFonts w:ascii="Fira Sans" w:hAnsi="Fira Sans"/>
          <w:sz w:val="19"/>
          <w:szCs w:val="19"/>
        </w:rPr>
      </w:pPr>
      <w:r w:rsidRPr="004A21B1">
        <w:rPr>
          <w:rFonts w:ascii="Fira Sans" w:hAnsi="Fira Sans"/>
          <w:sz w:val="19"/>
          <w:szCs w:val="19"/>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00FF2341" w:rsidRPr="004A21B1" w:rsidRDefault="00FF2341" w:rsidP="00FF2341">
      <w:pPr>
        <w:jc w:val="both"/>
        <w:rPr>
          <w:rFonts w:ascii="Fira Sans" w:hAnsi="Fira Sans"/>
          <w:sz w:val="19"/>
          <w:szCs w:val="19"/>
        </w:rPr>
      </w:pPr>
      <w:r w:rsidRPr="004A21B1">
        <w:rPr>
          <w:rFonts w:ascii="Fira Sans" w:hAnsi="Fira Sans"/>
          <w:sz w:val="19"/>
          <w:szCs w:val="19"/>
        </w:rPr>
        <w:tab/>
      </w:r>
    </w:p>
    <w:p w:rsidR="00FF2341" w:rsidRPr="004A21B1" w:rsidRDefault="00FF2341" w:rsidP="00FF2341">
      <w:pPr>
        <w:jc w:val="both"/>
        <w:rPr>
          <w:rFonts w:ascii="Fira Sans" w:hAnsi="Fira Sans"/>
          <w:sz w:val="19"/>
          <w:szCs w:val="19"/>
        </w:rPr>
      </w:pPr>
      <w:r w:rsidRPr="004A21B1">
        <w:rPr>
          <w:rFonts w:ascii="Fira Sans" w:hAnsi="Fira Sans"/>
          <w:sz w:val="19"/>
          <w:szCs w:val="19"/>
        </w:rPr>
        <w:t xml:space="preserve">Prowadzenie prac metodologicznych zwłaszcza doskonalących jakość badań, należy do stałych zadań realizowanych przez służby statystyki publicznej. Podyktowane to jest złożonością systemu informacji statystycznej, bardzo obszernym zakresem tematycznym, koniecznością korzystania z wielu różnorodnych źródeł danych, a także powiązaniem tego systemu z infrastrukturą informacyjną i organizacyjną państwa. </w:t>
      </w:r>
    </w:p>
    <w:p w:rsidR="00FF2341" w:rsidRPr="004A21B1" w:rsidRDefault="00FF2341" w:rsidP="00FF2341">
      <w:pPr>
        <w:jc w:val="both"/>
        <w:rPr>
          <w:rFonts w:ascii="Fira Sans" w:hAnsi="Fira Sans"/>
          <w:sz w:val="19"/>
          <w:szCs w:val="19"/>
        </w:rPr>
      </w:pPr>
    </w:p>
    <w:p w:rsidR="00FF2341" w:rsidRPr="004A21B1" w:rsidRDefault="00FF2341" w:rsidP="00FF2341">
      <w:pPr>
        <w:jc w:val="both"/>
        <w:rPr>
          <w:rFonts w:ascii="Fira Sans" w:hAnsi="Fira Sans"/>
          <w:sz w:val="19"/>
          <w:szCs w:val="19"/>
        </w:rPr>
      </w:pPr>
      <w:r w:rsidRPr="004A21B1">
        <w:rPr>
          <w:rFonts w:ascii="Fira Sans" w:hAnsi="Fira Sans"/>
          <w:sz w:val="19"/>
          <w:szCs w:val="19"/>
        </w:rPr>
        <w:t xml:space="preserve">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 producentów statystyki w celu spełnienia oczekiwań szerokiego kręgu odbiorców informacji. Tak pozyskiwane informacje spełniają nie tylko podstawowe zasady statystyki oficjalnej, ale są </w:t>
      </w:r>
      <w:r w:rsidRPr="004A21B1">
        <w:rPr>
          <w:rFonts w:ascii="Fira Sans" w:hAnsi="Fira Sans"/>
          <w:sz w:val="19"/>
          <w:szCs w:val="19"/>
        </w:rPr>
        <w:br/>
        <w:t>w informacyjnym systemie społeczeństwa demokratycznego, dostarczając organom władzy państwowej, administracji publicznej, sektorowi gospodarczemu i społeczeństwu danych obrazujących sytuację społeczno-ekonomiczną kraju, jak również służą realizacji zobowiązań informacyjnych z tytułu członkostwa w różnych organizacjach międzynarodowych.</w:t>
      </w:r>
    </w:p>
    <w:p w:rsidR="00FF2341" w:rsidRPr="004A21B1" w:rsidRDefault="00FF2341" w:rsidP="00FF2341">
      <w:pPr>
        <w:jc w:val="both"/>
        <w:rPr>
          <w:rFonts w:ascii="Fira Sans" w:hAnsi="Fira Sans"/>
          <w:sz w:val="19"/>
          <w:szCs w:val="19"/>
        </w:rPr>
      </w:pPr>
    </w:p>
    <w:p w:rsidR="00FF2341" w:rsidRPr="004A21B1" w:rsidRDefault="00FF2341" w:rsidP="00FF2341">
      <w:pPr>
        <w:jc w:val="both"/>
        <w:rPr>
          <w:rFonts w:ascii="Fira Sans" w:hAnsi="Fira Sans"/>
          <w:sz w:val="19"/>
          <w:szCs w:val="19"/>
        </w:rPr>
      </w:pPr>
      <w:r w:rsidRPr="004A21B1">
        <w:rPr>
          <w:rFonts w:ascii="Fira Sans" w:hAnsi="Fira Sans"/>
          <w:sz w:val="19"/>
          <w:szCs w:val="19"/>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publicznych. Prace metodologiczne mają istotne znaczenie dla zapewnienia wymaganej jakości informacji możliwie najniższym kosztem i bez nadmiernego obciążania obowiązkami sprawozdawczymi respondentów przekazujących dane dla celów statystycznych.</w:t>
      </w:r>
    </w:p>
    <w:p w:rsidR="00FF2341" w:rsidRPr="004A21B1" w:rsidRDefault="00FF2341" w:rsidP="00FF2341">
      <w:pPr>
        <w:jc w:val="both"/>
        <w:rPr>
          <w:rFonts w:ascii="Fira Sans" w:hAnsi="Fira Sans"/>
          <w:sz w:val="19"/>
          <w:szCs w:val="19"/>
        </w:rPr>
      </w:pPr>
    </w:p>
    <w:p w:rsidR="00FF2341" w:rsidRPr="004A21B1" w:rsidRDefault="00FF2341" w:rsidP="00FF2341">
      <w:pPr>
        <w:jc w:val="both"/>
        <w:rPr>
          <w:rFonts w:ascii="Fira Sans" w:hAnsi="Fira Sans"/>
          <w:sz w:val="19"/>
          <w:szCs w:val="19"/>
        </w:rPr>
      </w:pPr>
      <w:r w:rsidRPr="004A21B1">
        <w:rPr>
          <w:rFonts w:ascii="Fira Sans" w:hAnsi="Fira Sans"/>
          <w:sz w:val="19"/>
          <w:szCs w:val="19"/>
        </w:rPr>
        <w:t>Problematyka prac metodologicznych ma na celu dostosowywanie tematyki badań statystycznych do stale zachodzących w kraju przemian społeczno-gospodarczych, a także do obowiązków wynikających z tytułu członkostwa w UE. Powstawanie nowych zjawisk a także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nowoczesnych informacji statystycznych, w tym umożliwiającej przewidywanie i prognozowanie zjawisk i procesów społeczno-gospodarczych. Problematyka prac metodologicznych określa także ważniejsze kierunki zamierzeń programowych statystyki publicznej w następnych latach.</w:t>
      </w:r>
    </w:p>
    <w:p w:rsidR="00FF2341" w:rsidRPr="004A21B1" w:rsidRDefault="00FF2341" w:rsidP="00FF2341">
      <w:pPr>
        <w:jc w:val="both"/>
        <w:rPr>
          <w:rFonts w:ascii="Fira Sans" w:hAnsi="Fira Sans"/>
          <w:sz w:val="19"/>
          <w:szCs w:val="19"/>
        </w:rPr>
      </w:pPr>
    </w:p>
    <w:p w:rsidR="00FF2341" w:rsidRPr="004A21B1" w:rsidRDefault="00FF2341" w:rsidP="00FF2341">
      <w:pPr>
        <w:jc w:val="both"/>
        <w:rPr>
          <w:rFonts w:ascii="Fira Sans" w:hAnsi="Fira Sans"/>
          <w:sz w:val="19"/>
          <w:szCs w:val="19"/>
        </w:rPr>
      </w:pPr>
      <w:r w:rsidRPr="004A21B1">
        <w:rPr>
          <w:rFonts w:ascii="Fira Sans" w:hAnsi="Fira Sans"/>
          <w:sz w:val="19"/>
          <w:szCs w:val="19"/>
        </w:rPr>
        <w:t xml:space="preserve">Przygotowanie metodologiczne badań powinno generalnie dotyczyć przedsięwzięć badawczych o zasadniczym znaczeniu, wymagających przygotowania metodycznego (badania masowe, badania nowe), a także tematów badań, w tym również kontynuowanych, w których w szerokim zakresie będą wykorzystywane nowe źródła danych, zwłaszcza dane z administracyjnych systemów informacyjnych. </w:t>
      </w:r>
    </w:p>
    <w:p w:rsidR="00FF2341" w:rsidRPr="004A21B1" w:rsidRDefault="00FF2341" w:rsidP="00FF2341">
      <w:pPr>
        <w:jc w:val="both"/>
        <w:rPr>
          <w:rFonts w:ascii="Fira Sans" w:hAnsi="Fira Sans"/>
          <w:sz w:val="19"/>
          <w:szCs w:val="19"/>
        </w:rPr>
      </w:pPr>
    </w:p>
    <w:p w:rsidR="00FF2341" w:rsidRPr="004A21B1" w:rsidRDefault="00FF2341" w:rsidP="00FF2341">
      <w:pPr>
        <w:jc w:val="both"/>
        <w:rPr>
          <w:rFonts w:ascii="Fira Sans" w:hAnsi="Fira Sans"/>
          <w:sz w:val="19"/>
          <w:szCs w:val="19"/>
        </w:rPr>
      </w:pPr>
      <w:r w:rsidRPr="004A21B1">
        <w:rPr>
          <w:rFonts w:ascii="Fira Sans" w:hAnsi="Fira Sans"/>
          <w:sz w:val="19"/>
          <w:szCs w:val="19"/>
        </w:rPr>
        <w:t xml:space="preserve">Zadania metodologiczne dotyczące prac dodatkowych (uzupełniających) o charakterze usprawniającym, doskonalącym proces badawczy lub zmieniającym w nieznacznym stopniu prowadzone badania, nie powinny stanowić wyodrębnionych tematów. Prace tego rodzaju należy prowadzić na bieżąco w ramach realizacji określonych badań. Prace metodologiczne o zbliżonej tematyce należy ujmować kompleksowo w jednym temacie. </w:t>
      </w:r>
    </w:p>
    <w:p w:rsidR="00FF2341" w:rsidRPr="004A21B1" w:rsidRDefault="00FF2341" w:rsidP="00FF2341">
      <w:pPr>
        <w:jc w:val="both"/>
        <w:rPr>
          <w:rFonts w:ascii="Fira Sans" w:hAnsi="Fira Sans"/>
          <w:sz w:val="19"/>
          <w:szCs w:val="19"/>
        </w:rPr>
      </w:pPr>
    </w:p>
    <w:p w:rsidR="00FF2341" w:rsidRPr="004A21B1" w:rsidRDefault="00FF2341" w:rsidP="00FF2341">
      <w:pPr>
        <w:jc w:val="both"/>
        <w:rPr>
          <w:rFonts w:ascii="Fira Sans" w:hAnsi="Fira Sans"/>
          <w:sz w:val="19"/>
          <w:szCs w:val="19"/>
        </w:rPr>
      </w:pPr>
      <w:r w:rsidRPr="004A21B1">
        <w:rPr>
          <w:rFonts w:ascii="Fira Sans" w:hAnsi="Fira Sans"/>
          <w:sz w:val="19"/>
          <w:szCs w:val="19"/>
        </w:rPr>
        <w:t>Przygotowanie metodologiczne badania statystycznego wymaga określenia metodyki realizacji wielu czynności, które można w ogólnym ujęciu podzielić na następujące etapy:</w:t>
      </w:r>
    </w:p>
    <w:p w:rsidR="00FF2341" w:rsidRPr="004A21B1" w:rsidRDefault="00FF2341" w:rsidP="00FF2341">
      <w:pPr>
        <w:pStyle w:val="Akapitzlist"/>
        <w:numPr>
          <w:ilvl w:val="0"/>
          <w:numId w:val="6"/>
        </w:numPr>
        <w:jc w:val="both"/>
        <w:rPr>
          <w:rFonts w:ascii="Fira Sans" w:hAnsi="Fira Sans"/>
          <w:sz w:val="19"/>
          <w:szCs w:val="19"/>
        </w:rPr>
      </w:pPr>
      <w:r w:rsidRPr="004A21B1">
        <w:rPr>
          <w:rFonts w:ascii="Fira Sans" w:hAnsi="Fira Sans"/>
          <w:sz w:val="19"/>
          <w:szCs w:val="19"/>
        </w:rPr>
        <w:t>zdefiniowanie problemu i sformułowanie hipotezy roboczej całości badania statystycznego,</w:t>
      </w:r>
    </w:p>
    <w:p w:rsidR="00FF2341" w:rsidRPr="004A21B1" w:rsidRDefault="00FF2341" w:rsidP="00FF2341">
      <w:pPr>
        <w:pStyle w:val="Akapitzlist"/>
        <w:numPr>
          <w:ilvl w:val="0"/>
          <w:numId w:val="6"/>
        </w:numPr>
        <w:jc w:val="both"/>
        <w:rPr>
          <w:rFonts w:ascii="Fira Sans" w:hAnsi="Fira Sans"/>
          <w:sz w:val="19"/>
          <w:szCs w:val="19"/>
        </w:rPr>
      </w:pPr>
      <w:r w:rsidRPr="004A21B1">
        <w:rPr>
          <w:rFonts w:ascii="Fira Sans" w:hAnsi="Fira Sans"/>
          <w:sz w:val="19"/>
          <w:szCs w:val="19"/>
        </w:rPr>
        <w:t>opracowanie planu badania, jego organizacji, wybór właściwej metody badania,</w:t>
      </w:r>
    </w:p>
    <w:p w:rsidR="00FF2341" w:rsidRPr="004A21B1" w:rsidRDefault="00FF2341" w:rsidP="00FF2341">
      <w:pPr>
        <w:pStyle w:val="Akapitzlist"/>
        <w:numPr>
          <w:ilvl w:val="0"/>
          <w:numId w:val="6"/>
        </w:numPr>
        <w:jc w:val="both"/>
        <w:rPr>
          <w:rFonts w:ascii="Fira Sans" w:hAnsi="Fira Sans"/>
          <w:sz w:val="19"/>
          <w:szCs w:val="19"/>
        </w:rPr>
      </w:pPr>
      <w:r w:rsidRPr="004A21B1">
        <w:rPr>
          <w:rFonts w:ascii="Fira Sans" w:hAnsi="Fira Sans"/>
          <w:sz w:val="19"/>
          <w:szCs w:val="19"/>
        </w:rPr>
        <w:lastRenderedPageBreak/>
        <w:t xml:space="preserve">rozpoznanie źródeł zasilania oraz zebranie (gromadzenie) danych dla potrzeb badania, ze szczególnym uwzględnieniem wykorzystywania danych ze źródeł </w:t>
      </w:r>
      <w:proofErr w:type="spellStart"/>
      <w:r w:rsidRPr="004A21B1">
        <w:rPr>
          <w:rFonts w:ascii="Fira Sans" w:hAnsi="Fira Sans"/>
          <w:sz w:val="19"/>
          <w:szCs w:val="19"/>
        </w:rPr>
        <w:t>pozastatystycznych</w:t>
      </w:r>
      <w:proofErr w:type="spellEnd"/>
      <w:r w:rsidRPr="004A21B1">
        <w:rPr>
          <w:rFonts w:ascii="Fira Sans" w:hAnsi="Fira Sans"/>
          <w:sz w:val="19"/>
          <w:szCs w:val="19"/>
        </w:rPr>
        <w:t>, a szczególnie z administracyjnych systemów informacyjnych, podając zakres danych, w jakiej formie i w jakich terminach będą pozyskiwane,</w:t>
      </w:r>
    </w:p>
    <w:p w:rsidR="00FF2341" w:rsidRPr="004A21B1" w:rsidRDefault="00FF2341" w:rsidP="00FF2341">
      <w:pPr>
        <w:pStyle w:val="Akapitzlist"/>
        <w:numPr>
          <w:ilvl w:val="0"/>
          <w:numId w:val="6"/>
        </w:numPr>
        <w:jc w:val="both"/>
        <w:rPr>
          <w:rFonts w:ascii="Fira Sans" w:hAnsi="Fira Sans"/>
          <w:sz w:val="19"/>
          <w:szCs w:val="19"/>
        </w:rPr>
      </w:pPr>
      <w:r w:rsidRPr="004A21B1">
        <w:rPr>
          <w:rFonts w:ascii="Fira Sans" w:hAnsi="Fira Sans"/>
          <w:sz w:val="19"/>
          <w:szCs w:val="19"/>
        </w:rPr>
        <w:t>kontrola pozyskanych do badania danych, przetworzenie i opracowanie tablic wynikowych,</w:t>
      </w:r>
    </w:p>
    <w:p w:rsidR="00FF2341" w:rsidRPr="004A21B1" w:rsidRDefault="00FF2341" w:rsidP="00FF2341">
      <w:pPr>
        <w:pStyle w:val="Akapitzlist"/>
        <w:numPr>
          <w:ilvl w:val="0"/>
          <w:numId w:val="6"/>
        </w:numPr>
        <w:jc w:val="both"/>
        <w:rPr>
          <w:rFonts w:ascii="Fira Sans" w:hAnsi="Fira Sans"/>
          <w:sz w:val="19"/>
          <w:szCs w:val="19"/>
        </w:rPr>
      </w:pPr>
      <w:r w:rsidRPr="004A21B1">
        <w:rPr>
          <w:rFonts w:ascii="Fira Sans" w:hAnsi="Fira Sans"/>
          <w:sz w:val="19"/>
          <w:szCs w:val="19"/>
        </w:rPr>
        <w:t>analiza statystyczna i interpretacja wyników oraz sformułowanie wniosków, zdefiniowanie wynikowych zbiorów informacji, formy prezentacji i udostępniania,</w:t>
      </w:r>
    </w:p>
    <w:p w:rsidR="00FF2341" w:rsidRPr="004A21B1" w:rsidRDefault="00FF2341" w:rsidP="00FF2341">
      <w:pPr>
        <w:pStyle w:val="Akapitzlist"/>
        <w:numPr>
          <w:ilvl w:val="0"/>
          <w:numId w:val="6"/>
        </w:numPr>
        <w:jc w:val="both"/>
        <w:rPr>
          <w:rFonts w:ascii="Fira Sans" w:hAnsi="Fira Sans"/>
          <w:sz w:val="19"/>
          <w:szCs w:val="19"/>
        </w:rPr>
      </w:pPr>
      <w:r w:rsidRPr="004A21B1">
        <w:rPr>
          <w:rFonts w:ascii="Fira Sans" w:hAnsi="Fira Sans"/>
          <w:sz w:val="19"/>
          <w:szCs w:val="19"/>
        </w:rPr>
        <w:t>forma zakończenia pracy metodologicznej np. zeszyt metodologiczny, publikacja tematyczna, raport, notatka lub inny rodzaj opracowania,</w:t>
      </w:r>
    </w:p>
    <w:p w:rsidR="00FF2341" w:rsidRPr="004A21B1" w:rsidRDefault="00FF2341" w:rsidP="00FF2341">
      <w:pPr>
        <w:pStyle w:val="Akapitzlist"/>
        <w:numPr>
          <w:ilvl w:val="0"/>
          <w:numId w:val="6"/>
        </w:numPr>
        <w:jc w:val="both"/>
        <w:rPr>
          <w:rFonts w:ascii="Fira Sans" w:hAnsi="Fira Sans"/>
          <w:sz w:val="19"/>
          <w:szCs w:val="19"/>
        </w:rPr>
      </w:pPr>
      <w:r w:rsidRPr="004A21B1">
        <w:rPr>
          <w:rFonts w:ascii="Fira Sans" w:hAnsi="Fira Sans"/>
          <w:sz w:val="19"/>
          <w:szCs w:val="19"/>
        </w:rPr>
        <w:t>przedłożenie w uzasadnionych przypadkach projektu pracy metodologicznej do rozpatrzenia przez Komisję Metodologiczną i uwzględnienie zasadnych uwag i zaleceń oraz przygotowanie ostatecznej wersji pracy.</w:t>
      </w:r>
    </w:p>
    <w:p w:rsidR="00FF2341" w:rsidRPr="004A21B1" w:rsidRDefault="00FF2341" w:rsidP="00FF2341">
      <w:pPr>
        <w:jc w:val="both"/>
        <w:rPr>
          <w:rFonts w:ascii="Fira Sans" w:hAnsi="Fira Sans"/>
          <w:sz w:val="19"/>
          <w:szCs w:val="19"/>
        </w:rPr>
      </w:pPr>
    </w:p>
    <w:p w:rsidR="00FF2341" w:rsidRPr="004A21B1" w:rsidRDefault="00FF2341" w:rsidP="00FF2341">
      <w:pPr>
        <w:jc w:val="both"/>
        <w:rPr>
          <w:rFonts w:ascii="Fira Sans" w:hAnsi="Fira Sans"/>
          <w:sz w:val="19"/>
          <w:szCs w:val="19"/>
        </w:rPr>
      </w:pPr>
      <w:r w:rsidRPr="004A21B1">
        <w:rPr>
          <w:rFonts w:ascii="Fira Sans" w:hAnsi="Fira Sans"/>
          <w:sz w:val="19"/>
          <w:szCs w:val="19"/>
        </w:rPr>
        <w:t xml:space="preserve">Zakres prac metodologicznych uzależniony jest często od rodzaju tematyki planowanej do badania, stąd też proces jest rozłożony na różne okresy. Zachodzi często potrzeba zaangażowania do tych prac ekspertów ze środowisk naukowych. Szeroki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w:t>
      </w:r>
      <w:r>
        <w:rPr>
          <w:rFonts w:ascii="Fira Sans" w:hAnsi="Fira Sans"/>
          <w:sz w:val="19"/>
          <w:szCs w:val="19"/>
        </w:rPr>
        <w:br/>
      </w:r>
      <w:r w:rsidRPr="004A21B1">
        <w:rPr>
          <w:rFonts w:ascii="Fira Sans" w:hAnsi="Fira Sans"/>
          <w:sz w:val="19"/>
          <w:szCs w:val="19"/>
        </w:rPr>
        <w:t>i zasadności przyjętych rozwiązań metodologiczno-organizacyjnych. Także ograniczone środki budżetowe powodują konieczność doskonalenia dotychczasowych badań oraz poszukiwania nowych, bardziej ekonomicznych rozwiązań metodologicznych.</w:t>
      </w:r>
    </w:p>
    <w:p w:rsidR="00FF2341" w:rsidRPr="004A21B1" w:rsidRDefault="00FF2341" w:rsidP="00FF2341">
      <w:pPr>
        <w:jc w:val="both"/>
        <w:rPr>
          <w:rFonts w:ascii="Fira Sans" w:hAnsi="Fira Sans"/>
          <w:sz w:val="19"/>
          <w:szCs w:val="19"/>
        </w:rPr>
      </w:pPr>
    </w:p>
    <w:p w:rsidR="00FF2341" w:rsidRDefault="00FF2341" w:rsidP="00FF2341">
      <w:pPr>
        <w:jc w:val="both"/>
        <w:rPr>
          <w:rFonts w:ascii="Fira Sans" w:hAnsi="Fira Sans"/>
          <w:sz w:val="19"/>
          <w:szCs w:val="19"/>
        </w:rPr>
      </w:pPr>
      <w:r w:rsidRPr="004A21B1">
        <w:rPr>
          <w:rFonts w:ascii="Fira Sans" w:hAnsi="Fira Sans"/>
          <w:sz w:val="19"/>
          <w:szCs w:val="19"/>
        </w:rPr>
        <w:t>Rzetelne przygotowanie metodologiczne badań zapewnia powodzenie w ich przeprowadzeniu, a tym samym pozwala sprostać zadaniom stawianym statystyce przez nowoczesne  państwo i społeczeństwo.</w:t>
      </w:r>
    </w:p>
    <w:p w:rsidR="00FF2341" w:rsidRDefault="00FF2341" w:rsidP="00FF2341">
      <w:pPr>
        <w:jc w:val="both"/>
        <w:rPr>
          <w:rFonts w:ascii="Fira Sans" w:hAnsi="Fira Sans"/>
          <w:sz w:val="19"/>
          <w:szCs w:val="19"/>
        </w:rPr>
      </w:pPr>
    </w:p>
    <w:p w:rsidR="00FF2341" w:rsidRDefault="00FF2341" w:rsidP="00FF2341">
      <w:pPr>
        <w:jc w:val="both"/>
        <w:rPr>
          <w:rFonts w:ascii="Fira Sans" w:hAnsi="Fira Sans"/>
          <w:sz w:val="19"/>
          <w:szCs w:val="19"/>
        </w:rPr>
      </w:pPr>
    </w:p>
    <w:p w:rsidR="00FF2341" w:rsidRPr="007942B8" w:rsidRDefault="00FF2341" w:rsidP="00FF2341">
      <w:pPr>
        <w:jc w:val="both"/>
        <w:rPr>
          <w:sz w:val="24"/>
          <w:szCs w:val="24"/>
        </w:rPr>
        <w:sectPr w:rsidR="00FF2341" w:rsidRPr="007942B8" w:rsidSect="00FE350C">
          <w:headerReference w:type="default" r:id="rId7"/>
          <w:footerReference w:type="default" r:id="rId8"/>
          <w:pgSz w:w="12240" w:h="15840"/>
          <w:pgMar w:top="142" w:right="1134" w:bottom="1134" w:left="1134" w:header="357" w:footer="357" w:gutter="0"/>
          <w:cols w:space="708"/>
          <w:docGrid w:linePitch="272"/>
        </w:sectPr>
      </w:pPr>
    </w:p>
    <w:tbl>
      <w:tblPr>
        <w:tblW w:w="11065" w:type="dxa"/>
        <w:tblLayout w:type="fixed"/>
        <w:tblLook w:val="01E0" w:firstRow="1" w:lastRow="1" w:firstColumn="1" w:lastColumn="1" w:noHBand="0" w:noVBand="0"/>
      </w:tblPr>
      <w:tblGrid>
        <w:gridCol w:w="567"/>
        <w:gridCol w:w="993"/>
        <w:gridCol w:w="4394"/>
        <w:gridCol w:w="3544"/>
        <w:gridCol w:w="1567"/>
      </w:tblGrid>
      <w:tr w:rsidR="00FF2341" w:rsidRPr="000D0346" w:rsidTr="00DB5202">
        <w:trPr>
          <w:trHeight w:val="778"/>
        </w:trPr>
        <w:tc>
          <w:tcPr>
            <w:tcW w:w="11065" w:type="dxa"/>
            <w:gridSpan w:val="5"/>
            <w:tcMar>
              <w:top w:w="0" w:type="dxa"/>
              <w:left w:w="0" w:type="dxa"/>
              <w:bottom w:w="0" w:type="dxa"/>
              <w:right w:w="0" w:type="dxa"/>
            </w:tcMar>
          </w:tcPr>
          <w:p w:rsidR="00FF2341" w:rsidRPr="006720A5" w:rsidRDefault="00FF2341" w:rsidP="00DB5202">
            <w:pPr>
              <w:rPr>
                <w:rFonts w:ascii="Fira Sans" w:hAnsi="Fira Sans"/>
                <w:b/>
                <w:sz w:val="24"/>
                <w:szCs w:val="24"/>
              </w:rPr>
            </w:pPr>
            <w:r w:rsidRPr="006720A5">
              <w:rPr>
                <w:rFonts w:ascii="Fira Sans" w:hAnsi="Fira Sans"/>
                <w:b/>
                <w:sz w:val="24"/>
                <w:szCs w:val="24"/>
              </w:rPr>
              <w:lastRenderedPageBreak/>
              <w:t xml:space="preserve">PLAN PRAC METODOLOGICZNYCH NA 2019 </w:t>
            </w:r>
            <w:r>
              <w:rPr>
                <w:rFonts w:ascii="Fira Sans" w:hAnsi="Fira Sans"/>
                <w:b/>
                <w:sz w:val="24"/>
                <w:szCs w:val="24"/>
              </w:rPr>
              <w:t>r</w:t>
            </w:r>
            <w:r w:rsidRPr="006720A5">
              <w:rPr>
                <w:rFonts w:ascii="Fira Sans" w:hAnsi="Fira Sans"/>
                <w:b/>
                <w:sz w:val="24"/>
                <w:szCs w:val="24"/>
              </w:rPr>
              <w:t>.</w:t>
            </w:r>
          </w:p>
        </w:tc>
      </w:tr>
      <w:tr w:rsidR="00FF2341" w:rsidRPr="006720A5" w:rsidTr="00DB5202">
        <w:trPr>
          <w:gridAfter w:val="1"/>
          <w:wAfter w:w="1567" w:type="dxa"/>
          <w:trHeight w:val="574"/>
          <w:tblHeader/>
        </w:trPr>
        <w:tc>
          <w:tcPr>
            <w:tcW w:w="567" w:type="dxa"/>
            <w:tcBorders>
              <w:top w:val="single" w:sz="4" w:space="0" w:color="auto"/>
              <w:left w:val="single" w:sz="4" w:space="0" w:color="auto"/>
              <w:bottom w:val="single" w:sz="4" w:space="0" w:color="auto"/>
              <w:right w:val="single" w:sz="4" w:space="0" w:color="auto"/>
            </w:tcBorders>
          </w:tcPr>
          <w:p w:rsidR="00FF2341" w:rsidRPr="006720A5" w:rsidRDefault="00FF2341" w:rsidP="00DB5202">
            <w:pPr>
              <w:spacing w:before="240"/>
              <w:jc w:val="center"/>
              <w:rPr>
                <w:rFonts w:ascii="Fira Sans" w:hAnsi="Fira Sans"/>
                <w:b/>
                <w:sz w:val="19"/>
                <w:szCs w:val="19"/>
              </w:rPr>
            </w:pPr>
            <w:bookmarkStart w:id="0" w:name="__bookmark_1"/>
            <w:bookmarkEnd w:id="0"/>
            <w:r w:rsidRPr="006720A5">
              <w:rPr>
                <w:rFonts w:ascii="Fira Sans" w:hAnsi="Fira Sans"/>
                <w:b/>
                <w:sz w:val="19"/>
                <w:szCs w:val="19"/>
              </w:rPr>
              <w:t>Lp.</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F2341" w:rsidRPr="006720A5" w:rsidRDefault="00FF2341" w:rsidP="00DB5202">
            <w:pPr>
              <w:spacing w:before="240"/>
              <w:jc w:val="center"/>
              <w:rPr>
                <w:rFonts w:ascii="Fira Sans" w:hAnsi="Fira Sans"/>
                <w:b/>
                <w:sz w:val="19"/>
                <w:szCs w:val="19"/>
              </w:rPr>
            </w:pPr>
            <w:r w:rsidRPr="006720A5">
              <w:rPr>
                <w:rFonts w:ascii="Fira Sans" w:hAnsi="Fira Sans"/>
                <w:b/>
                <w:sz w:val="19"/>
                <w:szCs w:val="19"/>
              </w:rPr>
              <w:t>Symbol</w:t>
            </w:r>
          </w:p>
        </w:tc>
        <w:tc>
          <w:tcPr>
            <w:tcW w:w="43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F2341" w:rsidRPr="006720A5" w:rsidRDefault="00FF2341" w:rsidP="00DB5202">
            <w:pPr>
              <w:spacing w:before="240"/>
              <w:jc w:val="center"/>
              <w:rPr>
                <w:rFonts w:ascii="Fira Sans" w:hAnsi="Fira Sans"/>
                <w:b/>
                <w:sz w:val="19"/>
                <w:szCs w:val="19"/>
              </w:rPr>
            </w:pPr>
            <w:r w:rsidRPr="006720A5">
              <w:rPr>
                <w:rFonts w:ascii="Fira Sans" w:hAnsi="Fira Sans"/>
                <w:b/>
                <w:sz w:val="19"/>
                <w:szCs w:val="19"/>
              </w:rPr>
              <w:t>Tytuł</w:t>
            </w:r>
          </w:p>
        </w:tc>
        <w:tc>
          <w:tcPr>
            <w:tcW w:w="35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F2341" w:rsidRPr="006720A5" w:rsidRDefault="00FF2341" w:rsidP="00DB5202">
            <w:pPr>
              <w:spacing w:before="240"/>
              <w:jc w:val="center"/>
              <w:rPr>
                <w:rFonts w:ascii="Fira Sans" w:hAnsi="Fira Sans"/>
                <w:b/>
                <w:sz w:val="19"/>
                <w:szCs w:val="19"/>
              </w:rPr>
            </w:pPr>
            <w:r w:rsidRPr="006720A5">
              <w:rPr>
                <w:rFonts w:ascii="Fira Sans" w:hAnsi="Fira Sans"/>
                <w:b/>
                <w:sz w:val="19"/>
                <w:szCs w:val="19"/>
              </w:rPr>
              <w:t>Jednostka wiodąca</w:t>
            </w:r>
          </w:p>
        </w:tc>
      </w:tr>
      <w:tr w:rsidR="00FF2341" w:rsidRPr="006720A5" w:rsidTr="00DB5202">
        <w:trPr>
          <w:gridAfter w:val="1"/>
          <w:wAfter w:w="1567" w:type="dxa"/>
          <w:trHeight w:val="309"/>
        </w:trPr>
        <w:tc>
          <w:tcPr>
            <w:tcW w:w="567" w:type="dxa"/>
            <w:tcBorders>
              <w:top w:val="single" w:sz="4" w:space="0" w:color="auto"/>
              <w:left w:val="single" w:sz="4" w:space="0" w:color="auto"/>
              <w:bottom w:val="single" w:sz="6" w:space="0" w:color="C0C0C0"/>
              <w:right w:val="single" w:sz="4" w:space="0" w:color="auto"/>
            </w:tcBorders>
          </w:tcPr>
          <w:p w:rsidR="00FF2341" w:rsidRPr="006720A5" w:rsidRDefault="00FF2341" w:rsidP="00DB5202">
            <w:pPr>
              <w:rPr>
                <w:rFonts w:ascii="Fira Sans" w:hAnsi="Fira Sans"/>
                <w:b/>
                <w:sz w:val="19"/>
                <w:szCs w:val="19"/>
              </w:rPr>
            </w:pPr>
            <w:r w:rsidRPr="006720A5">
              <w:rPr>
                <w:rFonts w:ascii="Fira Sans" w:hAnsi="Fira Sans"/>
                <w:sz w:val="19"/>
                <w:szCs w:val="19"/>
              </w:rPr>
              <w:t>1.</w:t>
            </w:r>
          </w:p>
        </w:tc>
        <w:tc>
          <w:tcPr>
            <w:tcW w:w="993" w:type="dxa"/>
            <w:tcBorders>
              <w:top w:val="single" w:sz="4" w:space="0" w:color="auto"/>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3.010</w:t>
            </w:r>
          </w:p>
        </w:tc>
        <w:tc>
          <w:tcPr>
            <w:tcW w:w="4394" w:type="dxa"/>
            <w:tcBorders>
              <w:top w:val="single" w:sz="4" w:space="0" w:color="auto"/>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Opracowanie metodologii badań modułowych BAEL</w:t>
            </w:r>
          </w:p>
        </w:tc>
        <w:tc>
          <w:tcPr>
            <w:tcW w:w="3544" w:type="dxa"/>
            <w:tcBorders>
              <w:top w:val="single" w:sz="4" w:space="0" w:color="auto"/>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GUS - Departament Rynku Pracy</w:t>
            </w:r>
          </w:p>
        </w:tc>
      </w:tr>
      <w:tr w:rsidR="00FF2341" w:rsidRPr="006720A5" w:rsidTr="00DB5202">
        <w:trPr>
          <w:gridAfter w:val="1"/>
          <w:wAfter w:w="1567" w:type="dxa"/>
          <w:trHeight w:val="331"/>
        </w:trPr>
        <w:tc>
          <w:tcPr>
            <w:tcW w:w="567" w:type="dxa"/>
            <w:tcBorders>
              <w:top w:val="single" w:sz="6" w:space="0" w:color="C0C0C0"/>
              <w:left w:val="single" w:sz="4" w:space="0" w:color="auto"/>
              <w:bottom w:val="single" w:sz="6" w:space="0" w:color="C0C0C0"/>
              <w:right w:val="single" w:sz="4" w:space="0" w:color="auto"/>
            </w:tcBorders>
          </w:tcPr>
          <w:p w:rsidR="00FF2341" w:rsidRPr="006720A5" w:rsidRDefault="00FF2341" w:rsidP="00DB5202">
            <w:pPr>
              <w:rPr>
                <w:rFonts w:ascii="Fira Sans" w:hAnsi="Fira Sans"/>
                <w:b/>
                <w:sz w:val="19"/>
                <w:szCs w:val="19"/>
              </w:rPr>
            </w:pPr>
            <w:r w:rsidRPr="006720A5">
              <w:rPr>
                <w:rFonts w:ascii="Fira Sans" w:hAnsi="Fira Sans"/>
                <w:sz w:val="19"/>
                <w:szCs w:val="19"/>
              </w:rPr>
              <w:t>2.</w:t>
            </w:r>
          </w:p>
        </w:tc>
        <w:tc>
          <w:tcPr>
            <w:tcW w:w="993"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3.240</w:t>
            </w:r>
          </w:p>
        </w:tc>
        <w:tc>
          <w:tcPr>
            <w:tcW w:w="439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Satelitarny rachunek ochrony socjalnej</w:t>
            </w:r>
          </w:p>
        </w:tc>
        <w:tc>
          <w:tcPr>
            <w:tcW w:w="354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Urząd Statystyczny w Krakowie</w:t>
            </w:r>
          </w:p>
        </w:tc>
      </w:tr>
      <w:tr w:rsidR="00FF2341" w:rsidRPr="006720A5" w:rsidTr="00DB5202">
        <w:trPr>
          <w:gridAfter w:val="1"/>
          <w:wAfter w:w="1567" w:type="dxa"/>
          <w:trHeight w:val="1282"/>
        </w:trPr>
        <w:tc>
          <w:tcPr>
            <w:tcW w:w="567" w:type="dxa"/>
            <w:tcBorders>
              <w:top w:val="single" w:sz="6" w:space="0" w:color="C0C0C0"/>
              <w:left w:val="single" w:sz="4" w:space="0" w:color="auto"/>
              <w:bottom w:val="single" w:sz="6" w:space="0" w:color="C0C0C0"/>
              <w:right w:val="single" w:sz="4" w:space="0" w:color="auto"/>
            </w:tcBorders>
          </w:tcPr>
          <w:p w:rsidR="00FF2341" w:rsidRPr="006720A5" w:rsidRDefault="00FF2341" w:rsidP="00DB5202">
            <w:pPr>
              <w:rPr>
                <w:rFonts w:ascii="Fira Sans" w:hAnsi="Fira Sans"/>
                <w:b/>
                <w:sz w:val="19"/>
                <w:szCs w:val="19"/>
              </w:rPr>
            </w:pPr>
            <w:r w:rsidRPr="006720A5">
              <w:rPr>
                <w:rFonts w:ascii="Fira Sans" w:hAnsi="Fira Sans"/>
                <w:sz w:val="19"/>
                <w:szCs w:val="19"/>
              </w:rPr>
              <w:t>3.</w:t>
            </w:r>
          </w:p>
        </w:tc>
        <w:tc>
          <w:tcPr>
            <w:tcW w:w="993"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3.246</w:t>
            </w:r>
          </w:p>
        </w:tc>
        <w:tc>
          <w:tcPr>
            <w:tcW w:w="439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Opracowanie metody szacowania stanu </w:t>
            </w:r>
            <w:r>
              <w:rPr>
                <w:rFonts w:ascii="Fira Sans" w:hAnsi="Fira Sans"/>
                <w:sz w:val="19"/>
                <w:szCs w:val="19"/>
              </w:rPr>
              <w:br/>
            </w:r>
            <w:r w:rsidRPr="006720A5">
              <w:rPr>
                <w:rFonts w:ascii="Fira Sans" w:hAnsi="Fira Sans"/>
                <w:sz w:val="19"/>
                <w:szCs w:val="19"/>
              </w:rPr>
              <w:t xml:space="preserve">i struktury  ludności według rzeczywistego miejsca pobytu  z uwzględnieniem kryterium przebywania </w:t>
            </w:r>
            <w:r>
              <w:rPr>
                <w:rFonts w:ascii="Fira Sans" w:hAnsi="Fira Sans"/>
                <w:sz w:val="19"/>
                <w:szCs w:val="19"/>
              </w:rPr>
              <w:br/>
            </w:r>
            <w:r w:rsidRPr="006720A5">
              <w:rPr>
                <w:rFonts w:ascii="Fira Sans" w:hAnsi="Fira Sans"/>
                <w:sz w:val="19"/>
                <w:szCs w:val="19"/>
              </w:rPr>
              <w:t>i nieobecności 12 miesięcy i dłużej według podziału terytorialnego i siatki kilometrowej.</w:t>
            </w:r>
          </w:p>
        </w:tc>
        <w:tc>
          <w:tcPr>
            <w:tcW w:w="354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GUS - Departament Badań Demograficznych</w:t>
            </w:r>
          </w:p>
        </w:tc>
      </w:tr>
      <w:tr w:rsidR="00FF2341" w:rsidRPr="006720A5" w:rsidTr="00DB5202">
        <w:trPr>
          <w:gridAfter w:val="1"/>
          <w:wAfter w:w="1567" w:type="dxa"/>
          <w:trHeight w:val="641"/>
        </w:trPr>
        <w:tc>
          <w:tcPr>
            <w:tcW w:w="567" w:type="dxa"/>
            <w:tcBorders>
              <w:top w:val="single" w:sz="6" w:space="0" w:color="C0C0C0"/>
              <w:left w:val="single" w:sz="4" w:space="0" w:color="auto"/>
              <w:bottom w:val="single" w:sz="6" w:space="0" w:color="C0C0C0"/>
              <w:right w:val="single" w:sz="4" w:space="0" w:color="auto"/>
            </w:tcBorders>
          </w:tcPr>
          <w:p w:rsidR="00FF2341" w:rsidRPr="006720A5" w:rsidRDefault="00FF2341" w:rsidP="00DB5202">
            <w:pPr>
              <w:rPr>
                <w:rFonts w:ascii="Fira Sans" w:hAnsi="Fira Sans"/>
                <w:b/>
                <w:sz w:val="19"/>
                <w:szCs w:val="19"/>
              </w:rPr>
            </w:pPr>
            <w:r w:rsidRPr="006720A5">
              <w:rPr>
                <w:rFonts w:ascii="Fira Sans" w:hAnsi="Fira Sans"/>
                <w:sz w:val="19"/>
                <w:szCs w:val="19"/>
              </w:rPr>
              <w:t>4.</w:t>
            </w:r>
          </w:p>
        </w:tc>
        <w:tc>
          <w:tcPr>
            <w:tcW w:w="993"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3.248</w:t>
            </w:r>
          </w:p>
        </w:tc>
        <w:tc>
          <w:tcPr>
            <w:tcW w:w="439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Rachunki eksperymentalne KLEMS dla gospodarki  polskiej</w:t>
            </w:r>
          </w:p>
        </w:tc>
        <w:tc>
          <w:tcPr>
            <w:tcW w:w="354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GUS - Departament Studiów Makroekonomicznych i Finansów</w:t>
            </w:r>
          </w:p>
        </w:tc>
      </w:tr>
      <w:tr w:rsidR="00FF2341" w:rsidRPr="006720A5" w:rsidTr="00DB5202">
        <w:trPr>
          <w:gridAfter w:val="1"/>
          <w:wAfter w:w="1567" w:type="dxa"/>
          <w:trHeight w:val="972"/>
        </w:trPr>
        <w:tc>
          <w:tcPr>
            <w:tcW w:w="567" w:type="dxa"/>
            <w:tcBorders>
              <w:top w:val="single" w:sz="6" w:space="0" w:color="C0C0C0"/>
              <w:left w:val="single" w:sz="4" w:space="0" w:color="auto"/>
              <w:bottom w:val="single" w:sz="6" w:space="0" w:color="C0C0C0"/>
              <w:right w:val="single" w:sz="4" w:space="0" w:color="auto"/>
            </w:tcBorders>
          </w:tcPr>
          <w:p w:rsidR="00FF2341" w:rsidRPr="006720A5" w:rsidRDefault="00FF2341" w:rsidP="00DB5202">
            <w:pPr>
              <w:rPr>
                <w:rFonts w:ascii="Fira Sans" w:hAnsi="Fira Sans"/>
                <w:b/>
                <w:sz w:val="19"/>
                <w:szCs w:val="19"/>
              </w:rPr>
            </w:pPr>
            <w:r w:rsidRPr="006720A5">
              <w:rPr>
                <w:rFonts w:ascii="Fira Sans" w:hAnsi="Fira Sans"/>
                <w:sz w:val="19"/>
                <w:szCs w:val="19"/>
              </w:rPr>
              <w:t>5.</w:t>
            </w:r>
          </w:p>
        </w:tc>
        <w:tc>
          <w:tcPr>
            <w:tcW w:w="993"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3.249</w:t>
            </w:r>
          </w:p>
        </w:tc>
        <w:tc>
          <w:tcPr>
            <w:tcW w:w="439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Wykorzystanie danych z nowych źródeł administracyjnych Ministerstwa Finansów </w:t>
            </w:r>
            <w:r>
              <w:rPr>
                <w:rFonts w:ascii="Fira Sans" w:hAnsi="Fira Sans"/>
                <w:sz w:val="19"/>
                <w:szCs w:val="19"/>
              </w:rPr>
              <w:br/>
            </w:r>
            <w:r w:rsidRPr="006720A5">
              <w:rPr>
                <w:rFonts w:ascii="Fira Sans" w:hAnsi="Fira Sans"/>
                <w:sz w:val="19"/>
                <w:szCs w:val="19"/>
              </w:rPr>
              <w:t>w rocznych badaniach przedsiębiorstw niefinansowych</w:t>
            </w:r>
          </w:p>
        </w:tc>
        <w:tc>
          <w:tcPr>
            <w:tcW w:w="354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GUS - Departament Przedsiębiorstw</w:t>
            </w:r>
          </w:p>
        </w:tc>
      </w:tr>
      <w:tr w:rsidR="00FF2341" w:rsidRPr="006720A5" w:rsidTr="00DB5202">
        <w:trPr>
          <w:gridAfter w:val="1"/>
          <w:wAfter w:w="1567" w:type="dxa"/>
          <w:trHeight w:val="972"/>
        </w:trPr>
        <w:tc>
          <w:tcPr>
            <w:tcW w:w="567" w:type="dxa"/>
            <w:tcBorders>
              <w:top w:val="single" w:sz="6" w:space="0" w:color="C0C0C0"/>
              <w:left w:val="single" w:sz="4" w:space="0" w:color="auto"/>
              <w:bottom w:val="single" w:sz="6" w:space="0" w:color="C0C0C0"/>
              <w:right w:val="single" w:sz="4" w:space="0" w:color="auto"/>
            </w:tcBorders>
          </w:tcPr>
          <w:p w:rsidR="00FF2341" w:rsidRPr="006720A5" w:rsidRDefault="00FF2341" w:rsidP="00DB5202">
            <w:pPr>
              <w:rPr>
                <w:rFonts w:ascii="Fira Sans" w:hAnsi="Fira Sans"/>
                <w:b/>
                <w:sz w:val="19"/>
                <w:szCs w:val="19"/>
              </w:rPr>
            </w:pPr>
            <w:r w:rsidRPr="006720A5">
              <w:rPr>
                <w:rFonts w:ascii="Fira Sans" w:hAnsi="Fira Sans"/>
                <w:sz w:val="19"/>
                <w:szCs w:val="19"/>
              </w:rPr>
              <w:t>6.</w:t>
            </w:r>
          </w:p>
        </w:tc>
        <w:tc>
          <w:tcPr>
            <w:tcW w:w="993"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3.250</w:t>
            </w:r>
          </w:p>
        </w:tc>
        <w:tc>
          <w:tcPr>
            <w:tcW w:w="439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Wykorzystanie danych administracyjnych do estymacji wyników reprezentacyjnego badania mikroprzedsiębiorstw dla małych domen</w:t>
            </w:r>
          </w:p>
        </w:tc>
        <w:tc>
          <w:tcPr>
            <w:tcW w:w="3544" w:type="dxa"/>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GUS - Departament Przedsiębiorstw</w:t>
            </w:r>
          </w:p>
        </w:tc>
      </w:tr>
      <w:tr w:rsidR="00FF2341" w:rsidRPr="006720A5" w:rsidTr="00DB5202">
        <w:trPr>
          <w:gridAfter w:val="1"/>
          <w:wAfter w:w="1567" w:type="dxa"/>
          <w:trHeight w:val="331"/>
        </w:trPr>
        <w:tc>
          <w:tcPr>
            <w:tcW w:w="567" w:type="dxa"/>
            <w:tcBorders>
              <w:top w:val="single" w:sz="6" w:space="0" w:color="C0C0C0"/>
              <w:left w:val="single" w:sz="4" w:space="0" w:color="auto"/>
              <w:bottom w:val="single" w:sz="4" w:space="0" w:color="auto"/>
              <w:right w:val="single" w:sz="4" w:space="0" w:color="auto"/>
            </w:tcBorders>
          </w:tcPr>
          <w:p w:rsidR="00FF2341" w:rsidRPr="006720A5" w:rsidRDefault="00FF2341" w:rsidP="00DB5202">
            <w:pPr>
              <w:rPr>
                <w:rFonts w:ascii="Fira Sans" w:hAnsi="Fira Sans"/>
                <w:b/>
                <w:sz w:val="19"/>
                <w:szCs w:val="19"/>
              </w:rPr>
            </w:pPr>
            <w:r w:rsidRPr="006720A5">
              <w:rPr>
                <w:rFonts w:ascii="Fira Sans" w:hAnsi="Fira Sans"/>
                <w:sz w:val="19"/>
                <w:szCs w:val="19"/>
              </w:rPr>
              <w:t>7.</w:t>
            </w:r>
          </w:p>
        </w:tc>
        <w:tc>
          <w:tcPr>
            <w:tcW w:w="993" w:type="dxa"/>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3.251</w:t>
            </w:r>
          </w:p>
        </w:tc>
        <w:tc>
          <w:tcPr>
            <w:tcW w:w="4394" w:type="dxa"/>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Wpływ outsourcingu na produktywność przedsiębiorstw</w:t>
            </w:r>
          </w:p>
        </w:tc>
        <w:tc>
          <w:tcPr>
            <w:tcW w:w="3544" w:type="dxa"/>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tcPr>
          <w:p w:rsidR="00FF2341" w:rsidRPr="006720A5" w:rsidRDefault="00FF2341" w:rsidP="00DB5202">
            <w:pPr>
              <w:rPr>
                <w:rFonts w:ascii="Fira Sans" w:hAnsi="Fira Sans"/>
                <w:b/>
                <w:sz w:val="19"/>
                <w:szCs w:val="19"/>
              </w:rPr>
            </w:pPr>
            <w:r w:rsidRPr="006720A5">
              <w:rPr>
                <w:rFonts w:ascii="Fira Sans" w:hAnsi="Fira Sans"/>
                <w:sz w:val="19"/>
                <w:szCs w:val="19"/>
              </w:rPr>
              <w:t xml:space="preserve"> GUS - Departament Handlu i Usług</w:t>
            </w:r>
          </w:p>
        </w:tc>
      </w:tr>
    </w:tbl>
    <w:p w:rsidR="00FF2341" w:rsidRPr="006720A5" w:rsidRDefault="00FF2341" w:rsidP="00FF2341">
      <w:pPr>
        <w:rPr>
          <w:rFonts w:ascii="Fira Sans" w:hAnsi="Fira Sans"/>
          <w:sz w:val="19"/>
          <w:szCs w:val="19"/>
        </w:rPr>
      </w:pPr>
    </w:p>
    <w:p w:rsidR="00FF2341" w:rsidRDefault="00FF2341" w:rsidP="00FF2341"/>
    <w:p w:rsidR="00FF2341" w:rsidRDefault="00FF2341" w:rsidP="00FF2341">
      <w:pPr>
        <w:sectPr w:rsidR="00FF2341">
          <w:headerReference w:type="default" r:id="rId9"/>
          <w:footerReference w:type="default" r:id="rId10"/>
          <w:pgSz w:w="11905" w:h="16837"/>
          <w:pgMar w:top="850" w:right="850" w:bottom="850" w:left="850" w:header="850" w:footer="850" w:gutter="0"/>
          <w:cols w:space="708"/>
        </w:sect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530"/>
              <w:gridCol w:w="8675"/>
            </w:tblGrid>
            <w:tr w:rsidR="00FF2341" w:rsidTr="00DB5202">
              <w:trPr>
                <w:trHeight w:val="342"/>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lastRenderedPageBreak/>
                    <w:t>PRACA METODOLOGICZNA</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Id:</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4</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Symbol:</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3.010</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Tytuł:</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Opracowanie metodologii badań modułowych BAEL</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Obszar:</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statystyka społeczna</w:t>
                  </w:r>
                </w:p>
              </w:tc>
            </w:tr>
          </w:tbl>
          <w:p w:rsidR="00FF2341" w:rsidRDefault="00FF2341" w:rsidP="00DB5202">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Charakterystyka</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Cel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nowe badanie</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Opis celu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1) Przygotowanie metodologii badań modułowych realizowanych przy Badaniu Aktywności Ekonomicznej Ludności zgodnie z wymogami Komisji Europejskiej oraz potrzebami krajowymi. Badania modułowe zostały uwzględnione w "Programie modułów badania siły roboczej na lata 2019-2021" i będą dotyczyły następujących tematów:</w:t>
                  </w:r>
                </w:p>
                <w:p w:rsidR="00FF2341" w:rsidRDefault="00FF2341" w:rsidP="00DB5202">
                  <w:pPr>
                    <w:rPr>
                      <w:rFonts w:ascii="Calibri" w:eastAsia="Calibri" w:hAnsi="Calibri" w:cs="Calibri"/>
                      <w:color w:val="000000"/>
                    </w:rPr>
                  </w:pPr>
                  <w:r>
                    <w:rPr>
                      <w:rFonts w:ascii="Calibri" w:eastAsia="Calibri" w:hAnsi="Calibri" w:cs="Calibri"/>
                      <w:color w:val="000000"/>
                    </w:rPr>
                    <w:t>2019 r. - "Badanie organizacji i rozkładu czasu pracy"</w:t>
                  </w:r>
                  <w:r>
                    <w:rPr>
                      <w:rFonts w:ascii="Calibri" w:eastAsia="Calibri" w:hAnsi="Calibri" w:cs="Calibri"/>
                      <w:color w:val="000000"/>
                    </w:rPr>
                    <w:br/>
                    <w:t>2020 r. - "Wypadki przy pracy i problemy zdrowotne związane z pracą"</w:t>
                  </w:r>
                  <w:r>
                    <w:rPr>
                      <w:rFonts w:ascii="Calibri" w:eastAsia="Calibri" w:hAnsi="Calibri" w:cs="Calibri"/>
                      <w:color w:val="000000"/>
                    </w:rPr>
                    <w:br/>
                    <w:t>2021 r. - "Sytuacja na rynku pracy migrantów i ich potomków"</w:t>
                  </w:r>
                  <w:r>
                    <w:rPr>
                      <w:rFonts w:ascii="Calibri" w:eastAsia="Calibri" w:hAnsi="Calibri" w:cs="Calibri"/>
                      <w:color w:val="000000"/>
                    </w:rPr>
                    <w:br/>
                    <w:t>2) Przygotowanie formularzy i objaśnień do badań modułowych.</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Uzasadnienie użyteczności - realizacja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zobowiązań wynikających z przepisów prawa krajowego</w:t>
                        </w:r>
                      </w:p>
                    </w:tc>
                  </w:tr>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zobowiązań wynikających z przepisów prawa międzynarodowego</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spacing w:line="1" w:lineRule="auto"/>
                  </w:pPr>
                  <w:bookmarkStart w:id="1" w:name="__bookmark_2"/>
                  <w:bookmarkEnd w:id="1"/>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Akty prawne międzynarodowe</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bookmarkStart w:id="2" w:name="__bookmark_3"/>
                        <w:bookmarkEnd w:id="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ROZPORZĄDZENIE WYKONAWCZE KOMISJI (UE) 2017/2384 z dnia 19 grudnia 2017 r. określające cechy techniczne modułu ad hoc na 2019 r. dotyczącego sposobu organizacji pracy i czasu pracy w odniesieniu do badania reprezentacyjnego dotyczącego siły roboczej przewidzianego w rozporządzeniu Rady (WE) nr 577/98, Dziennik Urzędowy Unii Europejskiej,</w:t>
                        </w:r>
                      </w:p>
                    </w:tc>
                  </w:tr>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ROZPORZĄDZENIE DELEGOWANE KOMISJI (UE) 2016/1851 z dnia 14 czerwca 2016 r. w sprawie przyjęcia programu modułów ad hoc obejmującego lata 2019, 2020 i 2021 do celów badania reprezentacyjnego dotyczącego siły roboczej przewidzianego w rozporządzeniu Rady (WE) nr 577/98, Dziennik Urzędowy Unii Europejskiej.</w:t>
                        </w:r>
                      </w:p>
                    </w:tc>
                  </w:tr>
                </w:tbl>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Zakres prowadzonych prac</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 xml:space="preserve">Prace prowadzone przez jednostkę autorską w pierwszym etapie będą koncentrowały się na współpracy z Eurostatem, również poprzez bezpośrednie uczestnictwo w Grupie Roboczej Eurostatu dot. statystyki rynku pracy oraz w Grupach Zadaniowych dedykowanych konkretnym badaniom modułowym, w zakresie wypracowania metodologii, listy zmiennych, objaśnień i projektów regulacji do badań modułowych. Drugi etap prac obejmie zebranie i analizę potrzeb użytkowników krajowych w zakresie tematu objętego badaniem modułowym. Etap końcowy to przygotowanie formularzy, objaśnień, założeń do kontroli oraz makiet tablic wynikowych. </w:t>
                  </w:r>
                </w:p>
                <w:p w:rsidR="00FF2341" w:rsidRDefault="00FF2341" w:rsidP="00DB5202">
                  <w:pPr>
                    <w:jc w:val="both"/>
                    <w:rPr>
                      <w:rFonts w:ascii="Calibri" w:eastAsia="Calibri" w:hAnsi="Calibri" w:cs="Calibri"/>
                      <w:color w:val="000000"/>
                    </w:rPr>
                  </w:pPr>
                  <w:r>
                    <w:rPr>
                      <w:rFonts w:ascii="Calibri" w:eastAsia="Calibri" w:hAnsi="Calibri" w:cs="Calibri"/>
                      <w:color w:val="000000"/>
                    </w:rPr>
                    <w:t>Do zadań jednostek współautorskich należy zgłoszenie potrzeb reprezentowanych jednostek, pomoc w pracach związanych</w:t>
                  </w:r>
                  <w:r>
                    <w:rPr>
                      <w:rFonts w:ascii="Calibri" w:eastAsia="Calibri" w:hAnsi="Calibri" w:cs="Calibri"/>
                      <w:color w:val="000000"/>
                    </w:rPr>
                    <w:br/>
                    <w:t>z projektowaniem formularzy i objaśnień poprzez proponowanie sposobu uwzględnienia zgłoszonych potrzeb oraz ewentualnych korekt/uwag do opracowanych projektów.</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Terminy realizacji pracy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rozpoczęcia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Styczeń 2017</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zakończenia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Marzec 2021</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narzędzia badawcze</w:t>
                        </w:r>
                      </w:p>
                    </w:tc>
                  </w:tr>
                  <w:tr w:rsidR="00FF2341" w:rsidTr="00DB5202">
                    <w:trPr>
                      <w:gridAfter w:val="1"/>
                      <w:wAfter w:w="360" w:type="dxa"/>
                    </w:trPr>
                    <w:tc>
                      <w:tcPr>
                        <w:tcW w:w="0" w:type="dxa"/>
                      </w:tcPr>
                      <w:p w:rsidR="00FF2341" w:rsidRDefault="00FF2341" w:rsidP="00DB5202">
                        <w:pPr>
                          <w:spacing w:line="1" w:lineRule="auto"/>
                        </w:pPr>
                      </w:p>
                    </w:tc>
                  </w:tr>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objaśnienia do ankiety</w:t>
                        </w:r>
                      </w:p>
                    </w:tc>
                  </w:tr>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lastRenderedPageBreak/>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algorytmy i założenia do obliczeń</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zastosowania w statystyce</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Marzec 2021</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2019 r. realizacja badania "Badanie organizacji i rozkładu czasu pracy"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Informacje uzupełniające</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Dla pozostałych modułów:</w:t>
                  </w:r>
                </w:p>
                <w:p w:rsidR="00FF2341" w:rsidRDefault="00FF2341" w:rsidP="00DB5202">
                  <w:pPr>
                    <w:jc w:val="both"/>
                    <w:rPr>
                      <w:rFonts w:ascii="Calibri" w:eastAsia="Calibri" w:hAnsi="Calibri" w:cs="Calibri"/>
                      <w:color w:val="000000"/>
                    </w:rPr>
                  </w:pPr>
                  <w:r>
                    <w:rPr>
                      <w:rFonts w:ascii="Calibri" w:eastAsia="Calibri" w:hAnsi="Calibri" w:cs="Calibri"/>
                      <w:color w:val="000000"/>
                    </w:rPr>
                    <w:t>2020 r. "Wypadki przy pracy i problemy zdrowotne związane z pracą": miesiąc zastosowania w statystyce - kwiecień; rok zastosowania w statystyce - 2020; forma zastosowania w statystyce - 2020 r. Realizacja badania "Wypadki przy pracy i problemy zdrowotne związane z pracą"</w:t>
                  </w:r>
                </w:p>
                <w:p w:rsidR="00FF2341" w:rsidRDefault="00FF2341" w:rsidP="00DB5202">
                  <w:pPr>
                    <w:jc w:val="both"/>
                    <w:rPr>
                      <w:rFonts w:ascii="Calibri" w:eastAsia="Calibri" w:hAnsi="Calibri" w:cs="Calibri"/>
                      <w:color w:val="000000"/>
                    </w:rPr>
                  </w:pPr>
                  <w:r>
                    <w:rPr>
                      <w:rFonts w:ascii="Calibri" w:eastAsia="Calibri" w:hAnsi="Calibri" w:cs="Calibri"/>
                      <w:color w:val="000000"/>
                    </w:rPr>
                    <w:t>2021 r. "Sytuacja na rynku pracy migrantów i ich potomków": miesiąc zastosowania w statystyce - kwiecień; rok zastosowania w statystyce - 2021; forma zastosowania w statystyce - 2021 r. Realizacja badania "Sytuacja na rynku pracy migrantów i ich potomków"</w:t>
                  </w: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Jednostki realizujące pracę</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autorska - wiodąca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GUS - Departament Rynku Pracy</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współautorska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Urząd Statystyczny w Gdańsku</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GUS - Departament Badań Demograficznych</w:t>
                        </w:r>
                      </w:p>
                    </w:tc>
                  </w:tr>
                </w:tbl>
                <w:p w:rsidR="00FF2341" w:rsidRDefault="00FF2341" w:rsidP="00DB5202">
                  <w:pPr>
                    <w:spacing w:line="1" w:lineRule="auto"/>
                  </w:pPr>
                </w:p>
              </w:tc>
            </w:tr>
          </w:tbl>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p w:rsidR="00FF2341" w:rsidRDefault="00FF2341" w:rsidP="00DB5202"/>
          <w:tbl>
            <w:tblPr>
              <w:tblOverlap w:val="never"/>
              <w:tblW w:w="10205" w:type="dxa"/>
              <w:tblLayout w:type="fixed"/>
              <w:tblLook w:val="01E0" w:firstRow="1" w:lastRow="1" w:firstColumn="1" w:lastColumn="1" w:noHBand="0" w:noVBand="0"/>
            </w:tblPr>
            <w:tblGrid>
              <w:gridCol w:w="1530"/>
              <w:gridCol w:w="8675"/>
            </w:tblGrid>
            <w:tr w:rsidR="00FF2341" w:rsidTr="00DB5202">
              <w:trPr>
                <w:trHeight w:val="342"/>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lastRenderedPageBreak/>
                    <w:t>PRACA METODOLOGICZNA</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Id:</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30</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Symbol:</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3.240</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Tytuł:</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Satelitarny rachunek ochrony socjalnej</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Obszar:</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statystyka społeczna</w:t>
                  </w:r>
                </w:p>
              </w:tc>
            </w:tr>
          </w:tbl>
          <w:p w:rsidR="00FF2341" w:rsidRDefault="00FF2341" w:rsidP="00DB5202">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Charakterystyka</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Cel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rachunki satelitarne</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Opis celu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Przygotowanie metodologii rachunku satelitarnego ochrony socjalnej, który przedstawi wielowymiarowy obraz wielkości i rodzajów świadczeń z tytułu ochrony socjalnej w powiązaniu z systemem rachunków narodowych.</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Uzasadnienie użyteczności - realizacja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potrzeb użytkowników</w:t>
                        </w:r>
                      </w:p>
                    </w:tc>
                  </w:tr>
                </w:tbl>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spacing w:line="1" w:lineRule="auto"/>
                  </w:pPr>
                  <w:bookmarkStart w:id="3" w:name="__bookmark_15"/>
                  <w:bookmarkEnd w:id="3"/>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Zakres prowadzonych prac</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 xml:space="preserve">Zakres prac jednostki autorskiej: </w:t>
                  </w:r>
                </w:p>
                <w:p w:rsidR="00FF2341" w:rsidRDefault="00FF2341" w:rsidP="00DB5202">
                  <w:pPr>
                    <w:numPr>
                      <w:ilvl w:val="0"/>
                      <w:numId w:val="1"/>
                    </w:numPr>
                    <w:ind w:left="426"/>
                    <w:jc w:val="both"/>
                    <w:rPr>
                      <w:rFonts w:ascii="Calibri" w:eastAsia="Calibri" w:hAnsi="Calibri" w:cs="Calibri"/>
                      <w:color w:val="000000"/>
                    </w:rPr>
                  </w:pPr>
                  <w:r>
                    <w:rPr>
                      <w:rFonts w:ascii="Calibri" w:eastAsia="Calibri" w:hAnsi="Calibri" w:cs="Calibri"/>
                      <w:color w:val="000000"/>
                    </w:rPr>
                    <w:t>zdefiniowanie obszaru ochrony socjalnej w oparciu o metodologię ESA 2010 (europejski system rachunków narodowych i regionalnych),</w:t>
                  </w:r>
                </w:p>
                <w:p w:rsidR="00FF2341" w:rsidRDefault="00FF2341" w:rsidP="00DB5202">
                  <w:pPr>
                    <w:numPr>
                      <w:ilvl w:val="0"/>
                      <w:numId w:val="1"/>
                    </w:numPr>
                    <w:ind w:left="426"/>
                    <w:jc w:val="both"/>
                    <w:rPr>
                      <w:rFonts w:ascii="Calibri" w:eastAsia="Calibri" w:hAnsi="Calibri" w:cs="Calibri"/>
                      <w:color w:val="000000"/>
                    </w:rPr>
                  </w:pPr>
                  <w:r>
                    <w:rPr>
                      <w:rFonts w:ascii="Calibri" w:eastAsia="Calibri" w:hAnsi="Calibri" w:cs="Calibri"/>
                      <w:color w:val="000000"/>
                    </w:rPr>
                    <w:t>ustalenie źródeł danych statystycznych i danych administracyjnych spoza statystyki publicznej, szczegółowa analiza zrealizowanych świadczeń społecznych według rodzajów ryzyka i według obowiązujących klasyfikacji funkcjonalnych,</w:t>
                  </w:r>
                </w:p>
                <w:p w:rsidR="00FF2341" w:rsidRDefault="00FF2341" w:rsidP="00DB5202">
                  <w:pPr>
                    <w:numPr>
                      <w:ilvl w:val="0"/>
                      <w:numId w:val="1"/>
                    </w:numPr>
                    <w:ind w:left="426"/>
                    <w:jc w:val="both"/>
                    <w:rPr>
                      <w:rFonts w:ascii="Calibri" w:eastAsia="Calibri" w:hAnsi="Calibri" w:cs="Calibri"/>
                      <w:color w:val="000000"/>
                    </w:rPr>
                  </w:pPr>
                  <w:r>
                    <w:rPr>
                      <w:rFonts w:ascii="Calibri" w:eastAsia="Calibri" w:hAnsi="Calibri" w:cs="Calibri"/>
                      <w:color w:val="000000"/>
                    </w:rPr>
                    <w:t>przygotowanie makiet tablic oraz algorytmów ich naliczania,</w:t>
                  </w:r>
                </w:p>
                <w:p w:rsidR="00FF2341" w:rsidRDefault="00FF2341" w:rsidP="00DB5202">
                  <w:pPr>
                    <w:numPr>
                      <w:ilvl w:val="0"/>
                      <w:numId w:val="1"/>
                    </w:numPr>
                    <w:ind w:left="426"/>
                    <w:jc w:val="both"/>
                    <w:rPr>
                      <w:rFonts w:ascii="Calibri" w:eastAsia="Calibri" w:hAnsi="Calibri" w:cs="Calibri"/>
                      <w:color w:val="000000"/>
                    </w:rPr>
                  </w:pPr>
                  <w:r>
                    <w:rPr>
                      <w:rFonts w:ascii="Calibri" w:eastAsia="Calibri" w:hAnsi="Calibri" w:cs="Calibri"/>
                      <w:color w:val="000000"/>
                    </w:rPr>
                    <w:t xml:space="preserve">zebranie danych źródłowych i przypisanie ich do odpowiednich pozycji klasyfikacji, </w:t>
                  </w:r>
                </w:p>
                <w:p w:rsidR="00FF2341" w:rsidRDefault="00FF2341" w:rsidP="00DB5202">
                  <w:pPr>
                    <w:numPr>
                      <w:ilvl w:val="0"/>
                      <w:numId w:val="1"/>
                    </w:numPr>
                    <w:ind w:left="426"/>
                    <w:jc w:val="both"/>
                    <w:rPr>
                      <w:rFonts w:ascii="Calibri" w:eastAsia="Calibri" w:hAnsi="Calibri" w:cs="Calibri"/>
                      <w:color w:val="000000"/>
                    </w:rPr>
                  </w:pPr>
                  <w:r>
                    <w:rPr>
                      <w:rFonts w:ascii="Calibri" w:eastAsia="Calibri" w:hAnsi="Calibri" w:cs="Calibri"/>
                      <w:color w:val="000000"/>
                    </w:rPr>
                    <w:t xml:space="preserve">opracowanie szacunku rachunku satelitarnego ochrony socjalnej. </w:t>
                  </w:r>
                </w:p>
                <w:p w:rsidR="00FF2341" w:rsidRDefault="00FF2341" w:rsidP="00DB5202">
                  <w:pPr>
                    <w:jc w:val="both"/>
                    <w:rPr>
                      <w:rFonts w:ascii="Calibri" w:eastAsia="Calibri" w:hAnsi="Calibri" w:cs="Calibri"/>
                      <w:color w:val="000000"/>
                    </w:rPr>
                  </w:pPr>
                  <w:r>
                    <w:rPr>
                      <w:rFonts w:ascii="Calibri" w:eastAsia="Calibri" w:hAnsi="Calibri" w:cs="Calibri"/>
                      <w:color w:val="000000"/>
                    </w:rPr>
                    <w:t xml:space="preserve">Zakres prac jednostek współautorskich: </w:t>
                  </w:r>
                </w:p>
                <w:p w:rsidR="00FF2341" w:rsidRDefault="00FF2341" w:rsidP="00DB5202">
                  <w:pPr>
                    <w:numPr>
                      <w:ilvl w:val="0"/>
                      <w:numId w:val="1"/>
                    </w:numPr>
                    <w:ind w:left="426"/>
                    <w:jc w:val="both"/>
                    <w:rPr>
                      <w:rFonts w:ascii="Calibri" w:eastAsia="Calibri" w:hAnsi="Calibri" w:cs="Calibri"/>
                      <w:color w:val="000000"/>
                    </w:rPr>
                  </w:pPr>
                  <w:r>
                    <w:rPr>
                      <w:rFonts w:ascii="Calibri" w:eastAsia="Calibri" w:hAnsi="Calibri" w:cs="Calibri"/>
                      <w:color w:val="000000"/>
                    </w:rPr>
                    <w:t xml:space="preserve">konsultacje merytoryczne w trakcie opracowywania metodologii, </w:t>
                  </w:r>
                </w:p>
                <w:p w:rsidR="00FF2341" w:rsidRDefault="00FF2341" w:rsidP="00DB5202">
                  <w:pPr>
                    <w:numPr>
                      <w:ilvl w:val="0"/>
                      <w:numId w:val="1"/>
                    </w:numPr>
                    <w:ind w:left="426"/>
                    <w:jc w:val="both"/>
                    <w:rPr>
                      <w:rFonts w:ascii="Calibri" w:eastAsia="Calibri" w:hAnsi="Calibri" w:cs="Calibri"/>
                      <w:color w:val="000000"/>
                    </w:rPr>
                  </w:pPr>
                  <w:r>
                    <w:rPr>
                      <w:rFonts w:ascii="Calibri" w:eastAsia="Calibri" w:hAnsi="Calibri" w:cs="Calibri"/>
                      <w:color w:val="000000"/>
                    </w:rPr>
                    <w:t>opiniowanie przeprowadzonego szacunku eksperymentalnego.</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Terminy realizacji pracy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rozpoczęcia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Lipiec 2015</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zakończenia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2020</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raport</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zastosowania w statystyce</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2020</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Opracowanie satelitarnego rachunku ochrony socjalnej</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Informacje uzupełniające</w:t>
                  </w:r>
                </w:p>
              </w:tc>
            </w:tr>
          </w:tbl>
          <w:p w:rsidR="00FF2341" w:rsidRDefault="00FF2341" w:rsidP="00DB5202">
            <w:pPr>
              <w:spacing w:line="1" w:lineRule="auto"/>
            </w:pPr>
          </w:p>
        </w:tc>
      </w:tr>
    </w:tbl>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prace sukcesywne - stosownie do zmian w metodologii wprowadzanych przez UE i w polskich aktach prawnych</w:t>
                  </w: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Źródła danych</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Okres referencyjny danych</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2015</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Jednostki realizujące pracę</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autorska - wiodąca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4" w:name="__bookmark_20"/>
                        <w:bookmarkEnd w:id="4"/>
                        <w:r>
                          <w:rPr>
                            <w:rFonts w:ascii="Calibri" w:eastAsia="Calibri" w:hAnsi="Calibri" w:cs="Calibri"/>
                            <w:color w:val="000000"/>
                          </w:rPr>
                          <w:t>Urząd Statystyczny w Krakowie</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współautorska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5" w:name="__bookmark_21"/>
                        <w:bookmarkEnd w:id="5"/>
                        <w:r>
                          <w:rPr>
                            <w:rFonts w:ascii="Calibri" w:eastAsia="Calibri" w:hAnsi="Calibri" w:cs="Calibri"/>
                            <w:color w:val="000000"/>
                          </w:rPr>
                          <w:t>GUS - Departament Rachunków Narodowych</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GUS - Departament Badań Społecznych</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Pr>
        <w:sectPr w:rsidR="00FF2341">
          <w:headerReference w:type="default" r:id="rId11"/>
          <w:footerReference w:type="default" r:id="rId12"/>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530"/>
              <w:gridCol w:w="8675"/>
            </w:tblGrid>
            <w:tr w:rsidR="00FF2341" w:rsidTr="00DB5202">
              <w:trPr>
                <w:trHeight w:val="342"/>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PRACA METODOLOGICZNA</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Id:</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42</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Symbol:</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3.246</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Tytuł:</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Opracowanie metody szacowania stanu i struktury ludności według rzeczywistego miejsca pobytu z uwzględnieniem kryterium przebywania i nieobecności 12 miesięcy i dłużej według podziału terytorialnego i siatki kilometrowej.</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Obszar:</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statystyka społeczna</w:t>
                  </w:r>
                </w:p>
              </w:tc>
            </w:tr>
          </w:tbl>
          <w:p w:rsidR="00FF2341" w:rsidRDefault="00FF2341" w:rsidP="00DB5202">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Charakterystyka</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Cel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nowa metodyka realizacji badania</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Opis celu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Badanie możliwości opracowywania stanu i struktury ludności według faktycznego (rzeczywistego) miejsca pobytu, w tym z uwzględnieniem kryterium przebywania/nieobecności 12 miesięcy i dłużej według podziału terytorialnego – w oparciu o zasoby informacyjne Operatu do Badań Społecznych oraz bieżącą statystykę ruchu naturalnego. Badane będą również możliwości pozyskiwania danych o migracjach wewnętrznych i zagranicznych w oparciu o źródła administracyjne pozyskiwane dla potrzeb Operatu do Badań Społecznych.</w:t>
                  </w:r>
                </w:p>
                <w:p w:rsidR="00FF2341" w:rsidRDefault="00FF2341" w:rsidP="00DB5202">
                  <w:pPr>
                    <w:jc w:val="both"/>
                    <w:rPr>
                      <w:rFonts w:ascii="Calibri" w:eastAsia="Calibri" w:hAnsi="Calibri" w:cs="Calibri"/>
                      <w:color w:val="000000"/>
                    </w:rPr>
                  </w:pPr>
                  <w:r>
                    <w:rPr>
                      <w:rFonts w:ascii="Calibri" w:eastAsia="Calibri" w:hAnsi="Calibri" w:cs="Calibri"/>
                      <w:color w:val="000000"/>
                    </w:rPr>
                    <w:t xml:space="preserve">Dodatkowo praca ma na celu zbadanie możliwości wykonania zobowiązań wynikających z rozporządzenia nr 862/2007 PE i Rady w sprawie statystyk wspólnotowych z zakresu migracji i ochrony międzynarodowej, jak również rozporządzenia PE i Rady (UE) nr 1260/2013 z dnia 20 listopada 2013 r. w sprawie statystyk europejskich w dziedzinie demografii po zmianie źródeł danych o migracjach. </w:t>
                  </w:r>
                </w:p>
                <w:p w:rsidR="00FF2341" w:rsidRDefault="00FF2341" w:rsidP="00DB5202">
                  <w:pPr>
                    <w:jc w:val="both"/>
                    <w:rPr>
                      <w:rFonts w:ascii="Calibri" w:eastAsia="Calibri" w:hAnsi="Calibri" w:cs="Calibri"/>
                      <w:color w:val="000000"/>
                    </w:rPr>
                  </w:pPr>
                  <w:r>
                    <w:rPr>
                      <w:rFonts w:ascii="Calibri" w:eastAsia="Calibri" w:hAnsi="Calibri" w:cs="Calibri"/>
                      <w:color w:val="000000"/>
                    </w:rPr>
                    <w:t>Jednocześnie wypracowana metoda pozwoli na zbadanie możliwości opracowywania stanu i struktury ludności na poziomie siatki kilometrowej – zgodnie z planowaną przez Eurostat nową koncepcją realizacji rocznych spisów ludności i mieszkań po 2021 r.</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Uzasadnienie użyteczności - realizacja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zobowiązań wynikających z przepisów prawa międzynarodowego</w:t>
                        </w:r>
                      </w:p>
                    </w:tc>
                  </w:tr>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polityk / strategii / programów</w:t>
                        </w:r>
                      </w:p>
                    </w:tc>
                  </w:tr>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potrzeb użytkowników</w:t>
                        </w:r>
                      </w:p>
                    </w:tc>
                  </w:tr>
                </w:tbl>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Akty prawne międzynarodowe</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bookmarkStart w:id="6" w:name="__bookmark_23"/>
                        <w:bookmarkEnd w:id="6"/>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rozporządzenie Parlamentu Europejskiego i Rady (UE) nr 1260/2013 z dnia 20 listopada 2013 r. w sprawie statystyk europejskich w dziedzinie demografii (Tekst mający znaczenie dla EOG), (Dz. Urz. UE L 330 z 10.12.2013, str. 39)</w:t>
                        </w:r>
                      </w:p>
                    </w:tc>
                  </w:tr>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w:t>
                        </w:r>
                      </w:p>
                    </w:tc>
                    <w:tc>
                      <w:tcPr>
                        <w:tcW w:w="9797"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rozporządzenie (WE) nr 862/2007 Parlamentu Europejskiego i Rady z dnia 11 lipca 2007 r. w sprawie statystyk Wspólnoty z zakresu migracji i ochrony międzynarodowej oraz uchylające rozporządzenie Rady (EWG) nr 311/76 w sprawie zestawienia statystyk dotyczących pracowników cudzoziemców (Tekst mający znaczenie dla EOG), (Dz. Urz. UE L 199 z 31.07.2007, str. 23)</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spacing w:line="1" w:lineRule="auto"/>
                  </w:pPr>
                  <w:bookmarkStart w:id="7" w:name="__bookmark_25"/>
                  <w:bookmarkEnd w:id="7"/>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Zakres prowadzonych prac</w:t>
                  </w:r>
                </w:p>
              </w:tc>
            </w:tr>
            <w:tr w:rsidR="00FF2341" w:rsidTr="00DB5202">
              <w:tc>
                <w:tcPr>
                  <w:tcW w:w="10205" w:type="dxa"/>
                  <w:tcMar>
                    <w:top w:w="0" w:type="dxa"/>
                    <w:left w:w="0" w:type="dxa"/>
                    <w:bottom w:w="0" w:type="dxa"/>
                    <w:right w:w="0" w:type="dxa"/>
                  </w:tcMar>
                </w:tcPr>
                <w:p w:rsidR="00FF2341" w:rsidRDefault="00FF2341" w:rsidP="00DB5202">
                  <w:pPr>
                    <w:numPr>
                      <w:ilvl w:val="0"/>
                      <w:numId w:val="3"/>
                    </w:numPr>
                    <w:ind w:left="426" w:hanging="426"/>
                    <w:jc w:val="both"/>
                    <w:rPr>
                      <w:rFonts w:ascii="Calibri" w:eastAsia="Calibri" w:hAnsi="Calibri" w:cs="Calibri"/>
                      <w:color w:val="000000"/>
                    </w:rPr>
                  </w:pPr>
                  <w:r>
                    <w:rPr>
                      <w:rFonts w:ascii="Calibri" w:eastAsia="Calibri" w:hAnsi="Calibri" w:cs="Calibri"/>
                      <w:color w:val="000000"/>
                    </w:rPr>
                    <w:t xml:space="preserve">Wypracowanie założeń metodologicznych pozwalających na prowadzenie statystyk migracji oraz szacunków ludności według faktycznego miejsca pobytu, w tym z uwzględnieniem kryterium przebywania/nieobecności 12 miesięcy i dłużej według poziomu terytorialnego, w tym z uwzględnieniem siatki kilometrowej. </w:t>
                  </w:r>
                </w:p>
                <w:p w:rsidR="00FF2341" w:rsidRDefault="00FF2341" w:rsidP="00DB5202">
                  <w:pPr>
                    <w:numPr>
                      <w:ilvl w:val="0"/>
                      <w:numId w:val="3"/>
                    </w:numPr>
                    <w:ind w:left="426" w:hanging="426"/>
                    <w:jc w:val="both"/>
                    <w:rPr>
                      <w:rFonts w:ascii="Calibri" w:eastAsia="Calibri" w:hAnsi="Calibri" w:cs="Calibri"/>
                      <w:color w:val="000000"/>
                    </w:rPr>
                  </w:pPr>
                  <w:r>
                    <w:rPr>
                      <w:rFonts w:ascii="Calibri" w:eastAsia="Calibri" w:hAnsi="Calibri" w:cs="Calibri"/>
                      <w:color w:val="000000"/>
                    </w:rPr>
                    <w:t>Wyniki pracy zadecydują o sposobie szacowania stanu i struktury ludności w następnych latach i ewentualnym odejściu od opracowywania bilansów ludności według dotychczasowej metody.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Terminy realizacji pracy</w:t>
                  </w:r>
                </w:p>
              </w:tc>
            </w:tr>
          </w:tbl>
          <w:p w:rsidR="00FF2341" w:rsidRDefault="00FF2341" w:rsidP="00DB5202">
            <w:pPr>
              <w:spacing w:line="1" w:lineRule="auto"/>
            </w:pPr>
          </w:p>
        </w:tc>
      </w:tr>
    </w:tbl>
    <w:p w:rsidR="00FF2341" w:rsidRDefault="00FF2341" w:rsidP="00FF2341">
      <w:pPr>
        <w:sectPr w:rsidR="00FF2341">
          <w:headerReference w:type="default" r:id="rId13"/>
          <w:footerReference w:type="default" r:id="rId14"/>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rozpoczęcia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Styczeń 2017</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zakończenia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2021</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raport</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zastosowania w statystyce</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2021</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Wykorzystanie wyników pracy w corocznych szacunkach migracji oraz stanu i struktury ludności na potrzeby krajowe i międzynarodowe.</w:t>
                  </w: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Jednostki realizujące pracę</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autorska - wiodąca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8" w:name="__bookmark_30"/>
                        <w:bookmarkEnd w:id="8"/>
                        <w:r>
                          <w:rPr>
                            <w:rFonts w:ascii="Calibri" w:eastAsia="Calibri" w:hAnsi="Calibri" w:cs="Calibri"/>
                            <w:color w:val="000000"/>
                          </w:rPr>
                          <w:t>GUS - Departament Badań Demograficznych</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współautorska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9" w:name="__bookmark_31"/>
                        <w:bookmarkEnd w:id="9"/>
                        <w:r>
                          <w:rPr>
                            <w:rFonts w:ascii="Calibri" w:eastAsia="Calibri" w:hAnsi="Calibri" w:cs="Calibri"/>
                            <w:color w:val="000000"/>
                          </w:rPr>
                          <w:t>Urząd Statystyczny w Olsztynie</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Urząd Statystyczny w Warszawie</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GUS - Departament Standardów i Rejestrów</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Pr>
        <w:sectPr w:rsidR="00FF2341">
          <w:headerReference w:type="default" r:id="rId15"/>
          <w:footerReference w:type="default" r:id="rId16"/>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530"/>
              <w:gridCol w:w="8675"/>
            </w:tblGrid>
            <w:tr w:rsidR="00FF2341" w:rsidTr="00DB5202">
              <w:trPr>
                <w:trHeight w:val="342"/>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PRACA METODOLOGICZNA</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Id:</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44</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Symbol:</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3.248</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Tytuł:</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Rachunki eksperymentalne KLEMS dla gospodarki polskiej</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Obszar:</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statystyka gospodarcza</w:t>
                  </w:r>
                </w:p>
              </w:tc>
            </w:tr>
          </w:tbl>
          <w:p w:rsidR="00FF2341" w:rsidRDefault="00FF2341" w:rsidP="00DB5202">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Charakterystyka</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Cel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integracja danych z różnych źródeł</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Opis celu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 xml:space="preserve">Rozwój rachunku KLEMS (rachunek produktywności gospodarki - nazwa pochodzi od symboli literowych, tradycyjnie używanych w zapisie formalnym dla wielkości ekonomicznych lub od pierwszych liter słów w języku angielskim K – Capital, L – </w:t>
                  </w:r>
                  <w:proofErr w:type="spellStart"/>
                  <w:r>
                    <w:rPr>
                      <w:rFonts w:ascii="Calibri" w:eastAsia="Calibri" w:hAnsi="Calibri" w:cs="Calibri"/>
                      <w:color w:val="000000"/>
                    </w:rPr>
                    <w:t>Labour</w:t>
                  </w:r>
                  <w:proofErr w:type="spellEnd"/>
                  <w:r>
                    <w:rPr>
                      <w:rFonts w:ascii="Calibri" w:eastAsia="Calibri" w:hAnsi="Calibri" w:cs="Calibri"/>
                      <w:color w:val="000000"/>
                    </w:rPr>
                    <w:t>, E – Energy, M – Materials, S – Services) w nawiązaniu do metod wykorzystywanych przez krajowe urzędy statystyczne i inne ośrodki badawcze w UE i na świecie.</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Uzasadnienie użyteczności - realizacja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potrzeb użytkowników</w:t>
                        </w:r>
                      </w:p>
                    </w:tc>
                  </w:tr>
                </w:tbl>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Zakres prowadzonych prac</w:t>
                  </w:r>
                </w:p>
              </w:tc>
            </w:tr>
            <w:tr w:rsidR="00FF2341" w:rsidTr="00DB5202">
              <w:tc>
                <w:tcPr>
                  <w:tcW w:w="10205" w:type="dxa"/>
                  <w:tcMar>
                    <w:top w:w="0" w:type="dxa"/>
                    <w:left w:w="0" w:type="dxa"/>
                    <w:bottom w:w="0" w:type="dxa"/>
                    <w:right w:w="0" w:type="dxa"/>
                  </w:tcMar>
                </w:tcPr>
                <w:p w:rsidR="00FF2341" w:rsidRDefault="00FF2341" w:rsidP="00DB5202">
                  <w:pPr>
                    <w:numPr>
                      <w:ilvl w:val="0"/>
                      <w:numId w:val="4"/>
                    </w:numPr>
                    <w:jc w:val="both"/>
                    <w:rPr>
                      <w:rFonts w:ascii="Calibri" w:eastAsia="Calibri" w:hAnsi="Calibri" w:cs="Calibri"/>
                      <w:color w:val="000000"/>
                    </w:rPr>
                  </w:pPr>
                  <w:r>
                    <w:rPr>
                      <w:rFonts w:ascii="Calibri" w:eastAsia="Calibri" w:hAnsi="Calibri" w:cs="Calibri"/>
                      <w:color w:val="000000"/>
                    </w:rPr>
                    <w:t>analiza ewolucji metodologii KLEMS na świecie;</w:t>
                  </w:r>
                </w:p>
                <w:p w:rsidR="00FF2341" w:rsidRDefault="00FF2341" w:rsidP="00DB5202">
                  <w:pPr>
                    <w:numPr>
                      <w:ilvl w:val="0"/>
                      <w:numId w:val="4"/>
                    </w:numPr>
                    <w:jc w:val="both"/>
                    <w:rPr>
                      <w:rFonts w:ascii="Calibri" w:eastAsia="Calibri" w:hAnsi="Calibri" w:cs="Calibri"/>
                      <w:color w:val="000000"/>
                    </w:rPr>
                  </w:pPr>
                  <w:r>
                    <w:rPr>
                      <w:rFonts w:ascii="Calibri" w:eastAsia="Calibri" w:hAnsi="Calibri" w:cs="Calibri"/>
                      <w:color w:val="000000"/>
                    </w:rPr>
                    <w:t xml:space="preserve">produkt główny I: opracowanie metodologii oraz wykonanie dodatkowej dekompozycji wkładu godzin przepracowanych na dwa pod-czynniki, tj. „godziny na pracownika” oraz „pracujący”, dzięki czemu możliwe stałoby się bliższe przyjrzenie się przesłankom realnym stojącym za stanem koniunktury oraz wyjaśnienie niektórych przesłanek zmienności </w:t>
                  </w:r>
                  <w:proofErr w:type="spellStart"/>
                  <w:r>
                    <w:rPr>
                      <w:rFonts w:ascii="Calibri" w:eastAsia="Calibri" w:hAnsi="Calibri" w:cs="Calibri"/>
                      <w:color w:val="000000"/>
                    </w:rPr>
                    <w:t>Multifactor</w:t>
                  </w:r>
                  <w:proofErr w:type="spellEnd"/>
                  <w:r>
                    <w:rPr>
                      <w:rFonts w:ascii="Calibri" w:eastAsia="Calibri" w:hAnsi="Calibri" w:cs="Calibri"/>
                      <w:color w:val="000000"/>
                    </w:rPr>
                    <w:t xml:space="preserve"> Productivity (MFP);</w:t>
                  </w:r>
                </w:p>
                <w:p w:rsidR="00FF2341" w:rsidRDefault="00FF2341" w:rsidP="00DB5202">
                  <w:pPr>
                    <w:numPr>
                      <w:ilvl w:val="0"/>
                      <w:numId w:val="4"/>
                    </w:numPr>
                    <w:jc w:val="both"/>
                    <w:rPr>
                      <w:rFonts w:ascii="Calibri" w:eastAsia="Calibri" w:hAnsi="Calibri" w:cs="Calibri"/>
                      <w:color w:val="000000"/>
                    </w:rPr>
                  </w:pPr>
                  <w:r>
                    <w:rPr>
                      <w:rFonts w:ascii="Calibri" w:eastAsia="Calibri" w:hAnsi="Calibri" w:cs="Calibri"/>
                      <w:color w:val="000000"/>
                    </w:rPr>
                    <w:t>produkt główny II: zbadanie możliwości wykonania i wykonanie dekompozycji produkcji globalnej, a nie tylko wartości dodanej brutto, z opcją egzogenicznego wykorzystania danych dotyczących zużycia pośredniego;</w:t>
                  </w:r>
                </w:p>
                <w:p w:rsidR="00FF2341" w:rsidRDefault="00FF2341" w:rsidP="00DB5202">
                  <w:pPr>
                    <w:numPr>
                      <w:ilvl w:val="0"/>
                      <w:numId w:val="4"/>
                    </w:numPr>
                    <w:jc w:val="both"/>
                    <w:rPr>
                      <w:rFonts w:ascii="Calibri" w:eastAsia="Calibri" w:hAnsi="Calibri" w:cs="Calibri"/>
                      <w:color w:val="000000"/>
                    </w:rPr>
                  </w:pPr>
                  <w:r>
                    <w:rPr>
                      <w:rFonts w:ascii="Calibri" w:eastAsia="Calibri" w:hAnsi="Calibri" w:cs="Calibri"/>
                      <w:color w:val="000000"/>
                    </w:rPr>
                    <w:t>produkt główny III: opracowanie metodologii i wykonanie obliczeń w ramach rachunku produktywności KLEMS dla regionów NTS2 (województwa), co umożliwi dokonywanie porównań regionalnych, a nie tylko międzynarodowych;</w:t>
                  </w:r>
                </w:p>
                <w:p w:rsidR="00FF2341" w:rsidRDefault="00FF2341" w:rsidP="00DB5202">
                  <w:pPr>
                    <w:numPr>
                      <w:ilvl w:val="0"/>
                      <w:numId w:val="4"/>
                    </w:numPr>
                    <w:jc w:val="both"/>
                    <w:rPr>
                      <w:rFonts w:ascii="Calibri" w:eastAsia="Calibri" w:hAnsi="Calibri" w:cs="Calibri"/>
                      <w:color w:val="000000"/>
                    </w:rPr>
                  </w:pPr>
                  <w:r>
                    <w:rPr>
                      <w:rFonts w:ascii="Calibri" w:eastAsia="Calibri" w:hAnsi="Calibri" w:cs="Calibri"/>
                      <w:color w:val="000000"/>
                    </w:rPr>
                    <w:t>wykonanie analiz porównawczych z metodologią dekompozycji stosowanej przez OECD;</w:t>
                  </w:r>
                </w:p>
                <w:p w:rsidR="00FF2341" w:rsidRDefault="00FF2341" w:rsidP="00DB5202">
                  <w:pPr>
                    <w:numPr>
                      <w:ilvl w:val="0"/>
                      <w:numId w:val="4"/>
                    </w:numPr>
                    <w:jc w:val="both"/>
                    <w:rPr>
                      <w:rFonts w:ascii="Calibri" w:eastAsia="Calibri" w:hAnsi="Calibri" w:cs="Calibri"/>
                      <w:color w:val="000000"/>
                    </w:rPr>
                  </w:pPr>
                  <w:r>
                    <w:rPr>
                      <w:rFonts w:ascii="Calibri" w:eastAsia="Calibri" w:hAnsi="Calibri" w:cs="Calibri"/>
                      <w:color w:val="000000"/>
                    </w:rPr>
                    <w:t>produkt końcowy: opracowanie produktu analitycznego w postaci naukowego wydawnictwa książkowego podsumowującego prace nad rachunkiem KLEMS.</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Terminy realizacji pracy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rozpoczęcia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Lipiec 2017</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zakończenia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Czerwiec 2020</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raport</w:t>
                        </w:r>
                      </w:p>
                    </w:tc>
                  </w:tr>
                  <w:tr w:rsidR="00FF2341" w:rsidTr="00DB5202">
                    <w:trPr>
                      <w:gridAfter w:val="1"/>
                      <w:wAfter w:w="360" w:type="dxa"/>
                    </w:trPr>
                    <w:tc>
                      <w:tcPr>
                        <w:tcW w:w="0" w:type="dxa"/>
                      </w:tcPr>
                      <w:p w:rsidR="00FF2341" w:rsidRDefault="00FF2341" w:rsidP="00DB5202">
                        <w:pPr>
                          <w:spacing w:line="1" w:lineRule="auto"/>
                        </w:pPr>
                      </w:p>
                    </w:tc>
                  </w:tr>
                  <w:tr w:rsidR="00FF2341" w:rsidTr="00DB5202">
                    <w:trPr>
                      <w:gridAfter w:val="1"/>
                      <w:wAfter w:w="360" w:type="dxa"/>
                    </w:trPr>
                    <w:tc>
                      <w:tcPr>
                        <w:tcW w:w="0" w:type="dxa"/>
                      </w:tcPr>
                      <w:p w:rsidR="00FF2341" w:rsidRDefault="00FF2341" w:rsidP="00DB5202">
                        <w:pPr>
                          <w:spacing w:line="1" w:lineRule="auto"/>
                        </w:pPr>
                      </w:p>
                    </w:tc>
                  </w:tr>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opis metodologii badania</w:t>
                        </w:r>
                      </w:p>
                    </w:tc>
                  </w:tr>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metodyka realizacji badania</w:t>
                        </w:r>
                      </w:p>
                    </w:tc>
                  </w:tr>
                  <w:tr w:rsidR="00FF2341" w:rsidTr="00DB5202">
                    <w:trPr>
                      <w:gridAfter w:val="1"/>
                      <w:wAfter w:w="360" w:type="dxa"/>
                    </w:trPr>
                    <w:tc>
                      <w:tcPr>
                        <w:tcW w:w="0" w:type="dxa"/>
                      </w:tcPr>
                      <w:p w:rsidR="00FF2341" w:rsidRDefault="00FF2341" w:rsidP="00DB5202">
                        <w:pPr>
                          <w:spacing w:line="1" w:lineRule="auto"/>
                        </w:pPr>
                      </w:p>
                    </w:tc>
                  </w:tr>
                  <w:tr w:rsidR="00FF2341" w:rsidTr="00DB5202">
                    <w:trPr>
                      <w:gridAfter w:val="1"/>
                      <w:wAfter w:w="360" w:type="dxa"/>
                    </w:trPr>
                    <w:tc>
                      <w:tcPr>
                        <w:tcW w:w="0" w:type="dxa"/>
                      </w:tcPr>
                      <w:p w:rsidR="00FF2341" w:rsidRDefault="00FF2341" w:rsidP="00DB5202">
                        <w:pPr>
                          <w:spacing w:line="1" w:lineRule="auto"/>
                        </w:pPr>
                      </w:p>
                    </w:tc>
                  </w:tr>
                  <w:tr w:rsidR="00FF2341" w:rsidTr="00DB5202">
                    <w:trPr>
                      <w:gridAfter w:val="1"/>
                      <w:wAfter w:w="360" w:type="dxa"/>
                    </w:trPr>
                    <w:tc>
                      <w:tcPr>
                        <w:tcW w:w="0" w:type="dxa"/>
                      </w:tcPr>
                      <w:p w:rsidR="00FF2341" w:rsidRDefault="00FF2341" w:rsidP="00DB5202">
                        <w:pPr>
                          <w:spacing w:line="1" w:lineRule="auto"/>
                        </w:pPr>
                      </w:p>
                    </w:tc>
                  </w:tr>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algorytmy i założenia do obliczeń</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zastosowania w statystyce</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Czerwiec 2020</w:t>
                  </w:r>
                </w:p>
              </w:tc>
            </w:tr>
          </w:tbl>
          <w:p w:rsidR="00FF2341" w:rsidRDefault="00FF2341" w:rsidP="00DB5202">
            <w:pPr>
              <w:spacing w:line="1" w:lineRule="auto"/>
            </w:pPr>
          </w:p>
        </w:tc>
      </w:tr>
    </w:tbl>
    <w:p w:rsidR="00FF2341" w:rsidRDefault="00FF2341" w:rsidP="00FF2341">
      <w:pPr>
        <w:sectPr w:rsidR="00FF2341">
          <w:headerReference w:type="default" r:id="rId17"/>
          <w:footerReference w:type="default" r:id="rId18"/>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Wynikiem pracy będzie naukowe wydawnictwo książkowe, przygotowane m.in. na podstawie trzech raportów pośrednich, zawierające opracowaną metodologię, dalsze analizy porównawcze (w tym z metodologią dekompozycji stosowaną przez OECD) oraz inne wnioski analityczne.</w:t>
                  </w:r>
                </w:p>
                <w:p w:rsidR="00FF2341" w:rsidRDefault="00FF2341" w:rsidP="00DB5202">
                  <w:pPr>
                    <w:jc w:val="both"/>
                    <w:rPr>
                      <w:rFonts w:ascii="Calibri" w:eastAsia="Calibri" w:hAnsi="Calibri" w:cs="Calibri"/>
                      <w:color w:val="000000"/>
                    </w:rPr>
                  </w:pPr>
                  <w:r>
                    <w:rPr>
                      <w:rFonts w:ascii="Calibri" w:eastAsia="Calibri" w:hAnsi="Calibri" w:cs="Calibri"/>
                      <w:color w:val="000000"/>
                    </w:rPr>
                    <w:t>Praca metodologiczna umożliwi przeprowadzenie pełnej analizy produktywności gospodarki polskiej w zakresie nowej metodologii opracowanej w ramach rachunku KLEMS w oparciu o doświadczenia światowe i krajowe badania naukowe oraz sformułowanie standardowego badania statystycznego w tym zakresie na lata następne.</w:t>
                  </w: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Jednostki realizujące pracę</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autorska - wiodąca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10" w:name="__bookmark_40"/>
                        <w:bookmarkEnd w:id="10"/>
                        <w:r>
                          <w:rPr>
                            <w:rFonts w:ascii="Calibri" w:eastAsia="Calibri" w:hAnsi="Calibri" w:cs="Calibri"/>
                            <w:color w:val="000000"/>
                          </w:rPr>
                          <w:t>GUS - Departament Studiów Makroekonomicznych i Finansów</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Pr>
        <w:sectPr w:rsidR="00FF2341">
          <w:headerReference w:type="default" r:id="rId19"/>
          <w:footerReference w:type="default" r:id="rId20"/>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530"/>
              <w:gridCol w:w="8675"/>
            </w:tblGrid>
            <w:tr w:rsidR="00FF2341" w:rsidTr="00DB5202">
              <w:trPr>
                <w:trHeight w:val="342"/>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PRACA METODOLOGICZNA</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Id:</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45</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Symbol:</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3.249</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Tytuł:</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Wykorzystanie danych z nowych źródeł administracyjnych Ministerstwa Finansów w rocznych badaniach przedsiębiorstw niefinansowych</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Obszar:</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operaty</w:t>
                  </w:r>
                </w:p>
              </w:tc>
            </w:tr>
          </w:tbl>
          <w:p w:rsidR="00FF2341" w:rsidRDefault="00FF2341" w:rsidP="00DB5202">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Charakterystyka</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Cel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wykorzystanie nowych źródeł danych</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Opis celu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Celem pracy jest zbadanie możliwości wykorzystania nowych źródeł administracyjnych Ministerstwa Finansów do dalszej poprawy jakości danych opracowywanych w zakresie wyników finansowych sektora przedsiębiorstw.</w:t>
                  </w:r>
                </w:p>
                <w:p w:rsidR="00FF2341" w:rsidRDefault="00FF2341" w:rsidP="00DB5202">
                  <w:pPr>
                    <w:jc w:val="both"/>
                    <w:rPr>
                      <w:rFonts w:ascii="Calibri" w:eastAsia="Calibri" w:hAnsi="Calibri" w:cs="Calibri"/>
                      <w:color w:val="000000"/>
                    </w:rPr>
                  </w:pPr>
                  <w:r>
                    <w:rPr>
                      <w:rFonts w:ascii="Calibri" w:eastAsia="Calibri" w:hAnsi="Calibri" w:cs="Calibri"/>
                      <w:color w:val="000000"/>
                    </w:rPr>
                    <w:t>Dokonany zostanie opis i przeprowadzona analiza możliwości wykorzystywania w rocznych badaniach przedsiębiorstw niefinansowych nowowprowadzonych deklaracji podatkowych:</w:t>
                  </w:r>
                </w:p>
                <w:p w:rsidR="00FF2341" w:rsidRDefault="00FF2341" w:rsidP="00DB5202">
                  <w:pPr>
                    <w:jc w:val="both"/>
                    <w:rPr>
                      <w:rFonts w:ascii="Calibri" w:eastAsia="Calibri" w:hAnsi="Calibri" w:cs="Calibri"/>
                      <w:color w:val="000000"/>
                    </w:rPr>
                  </w:pPr>
                  <w:r>
                    <w:rPr>
                      <w:rFonts w:ascii="Calibri" w:eastAsia="Calibri" w:hAnsi="Calibri" w:cs="Calibri"/>
                      <w:color w:val="000000"/>
                    </w:rPr>
                    <w:t>CIT/TP – uproszczone sprawozdanie w sprawie transakcji lub innych zdarzeń zachodzących pomiędzy podmiotami powiązanymi;</w:t>
                  </w:r>
                </w:p>
                <w:p w:rsidR="00FF2341" w:rsidRDefault="00FF2341" w:rsidP="00DB5202">
                  <w:pPr>
                    <w:jc w:val="both"/>
                    <w:rPr>
                      <w:rFonts w:ascii="Calibri" w:eastAsia="Calibri" w:hAnsi="Calibri" w:cs="Calibri"/>
                      <w:color w:val="000000"/>
                    </w:rPr>
                  </w:pPr>
                  <w:r>
                    <w:rPr>
                      <w:rFonts w:ascii="Calibri" w:eastAsia="Calibri" w:hAnsi="Calibri" w:cs="Calibri"/>
                      <w:color w:val="000000"/>
                    </w:rPr>
                    <w:t>CIT/CFC – zeznanie o wysokości osiągniętego dochodu z zagranicznej spółki kontrolowanej przez podatnika podatku dochodowego od osób prawnych;</w:t>
                  </w:r>
                </w:p>
                <w:p w:rsidR="00FF2341" w:rsidRDefault="00FF2341" w:rsidP="00DB5202">
                  <w:pPr>
                    <w:jc w:val="both"/>
                    <w:rPr>
                      <w:rFonts w:ascii="Calibri" w:eastAsia="Calibri" w:hAnsi="Calibri" w:cs="Calibri"/>
                      <w:color w:val="000000"/>
                    </w:rPr>
                  </w:pPr>
                  <w:r>
                    <w:rPr>
                      <w:rFonts w:ascii="Calibri" w:eastAsia="Calibri" w:hAnsi="Calibri" w:cs="Calibri"/>
                      <w:color w:val="000000"/>
                    </w:rPr>
                    <w:t>CBC-P – powiadomienie w zakresie obowiązku przekazania informacji o grupie podmiotów;</w:t>
                  </w:r>
                </w:p>
                <w:p w:rsidR="00FF2341" w:rsidRDefault="00FF2341" w:rsidP="00DB5202">
                  <w:pPr>
                    <w:jc w:val="both"/>
                    <w:rPr>
                      <w:rFonts w:ascii="Calibri" w:eastAsia="Calibri" w:hAnsi="Calibri" w:cs="Calibri"/>
                      <w:color w:val="000000"/>
                    </w:rPr>
                  </w:pPr>
                  <w:r>
                    <w:rPr>
                      <w:rFonts w:ascii="Calibri" w:eastAsia="Calibri" w:hAnsi="Calibri" w:cs="Calibri"/>
                      <w:color w:val="000000"/>
                    </w:rPr>
                    <w:t>JPK_VAT – jednolity plik kontrolny VAT.</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Uzasadnienie użyteczności - realizacja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potrzeb użytkowników</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Oczekuje się, że źródło będzie wykorzystywane przy opracowaniu danych dla grup przedsiębiorstw, przedsiębiorstw składających się z wielu jednostek prawnych oraz podmiotów powiązanych zgodnie z wymogami europejskimi.</w:t>
                        </w:r>
                      </w:p>
                    </w:tc>
                  </w:tr>
                </w:tbl>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spacing w:line="1" w:lineRule="auto"/>
                  </w:pPr>
                  <w:bookmarkStart w:id="11" w:name="__bookmark_45"/>
                  <w:bookmarkEnd w:id="11"/>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Zakres prowadzonych prac</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Analiza możliwości wykorzystywania w rocznych badaniach przedsiębiorstw niefinansowych nowowprowadzonych deklaracji podatkowych:</w:t>
                  </w:r>
                </w:p>
                <w:p w:rsidR="00FF2341" w:rsidRDefault="00FF2341" w:rsidP="00DB5202">
                  <w:pPr>
                    <w:jc w:val="both"/>
                    <w:rPr>
                      <w:rFonts w:ascii="Calibri" w:eastAsia="Calibri" w:hAnsi="Calibri" w:cs="Calibri"/>
                      <w:color w:val="000000"/>
                    </w:rPr>
                  </w:pPr>
                  <w:r>
                    <w:rPr>
                      <w:rFonts w:ascii="Calibri" w:eastAsia="Calibri" w:hAnsi="Calibri" w:cs="Calibri"/>
                      <w:color w:val="000000"/>
                    </w:rPr>
                    <w:t xml:space="preserve"> CIT/TP – uproszczone sprawozdanie w sprawie transakcji lub innych zdarzeń zachodzących pomiędzy podmiotami powiązanymi;</w:t>
                  </w:r>
                </w:p>
                <w:p w:rsidR="00FF2341" w:rsidRDefault="00FF2341" w:rsidP="00DB5202">
                  <w:pPr>
                    <w:jc w:val="both"/>
                    <w:rPr>
                      <w:rFonts w:ascii="Calibri" w:eastAsia="Calibri" w:hAnsi="Calibri" w:cs="Calibri"/>
                      <w:color w:val="000000"/>
                    </w:rPr>
                  </w:pPr>
                  <w:r>
                    <w:rPr>
                      <w:rFonts w:ascii="Calibri" w:eastAsia="Calibri" w:hAnsi="Calibri" w:cs="Calibri"/>
                      <w:color w:val="000000"/>
                    </w:rPr>
                    <w:t>CIT/CFC – zeznanie o wysokości osiągniętego dochodu z zagranicznej spółki kontrolowanej przez podatnika podatku dochodowego od osób prawnych;</w:t>
                  </w:r>
                </w:p>
                <w:p w:rsidR="00FF2341" w:rsidRDefault="00FF2341" w:rsidP="00DB5202">
                  <w:pPr>
                    <w:jc w:val="both"/>
                    <w:rPr>
                      <w:rFonts w:ascii="Calibri" w:eastAsia="Calibri" w:hAnsi="Calibri" w:cs="Calibri"/>
                      <w:color w:val="000000"/>
                    </w:rPr>
                  </w:pPr>
                  <w:r>
                    <w:rPr>
                      <w:rFonts w:ascii="Calibri" w:eastAsia="Calibri" w:hAnsi="Calibri" w:cs="Calibri"/>
                      <w:color w:val="000000"/>
                    </w:rPr>
                    <w:t>CBC-P – powiadomienie w zakresie obowiązku przekazania informacji o grupie podmiotów;</w:t>
                  </w:r>
                </w:p>
                <w:p w:rsidR="00FF2341" w:rsidRDefault="00FF2341" w:rsidP="00DB5202">
                  <w:pPr>
                    <w:jc w:val="both"/>
                    <w:rPr>
                      <w:rFonts w:ascii="Calibri" w:eastAsia="Calibri" w:hAnsi="Calibri" w:cs="Calibri"/>
                      <w:color w:val="000000"/>
                    </w:rPr>
                  </w:pPr>
                  <w:r>
                    <w:rPr>
                      <w:rFonts w:ascii="Calibri" w:eastAsia="Calibri" w:hAnsi="Calibri" w:cs="Calibri"/>
                      <w:color w:val="000000"/>
                    </w:rPr>
                    <w:t>JPK_VAT – jednolity plik kontrolny VAT.</w:t>
                  </w:r>
                </w:p>
                <w:p w:rsidR="00FF2341" w:rsidRDefault="00FF2341" w:rsidP="00DB5202">
                  <w:pPr>
                    <w:jc w:val="both"/>
                    <w:rPr>
                      <w:rFonts w:ascii="Calibri" w:eastAsia="Calibri" w:hAnsi="Calibri" w:cs="Calibri"/>
                      <w:color w:val="000000"/>
                    </w:rPr>
                  </w:pPr>
                  <w:r>
                    <w:rPr>
                      <w:rFonts w:ascii="Calibri" w:eastAsia="Calibri" w:hAnsi="Calibri" w:cs="Calibri"/>
                      <w:color w:val="000000"/>
                    </w:rPr>
                    <w:t>W pracy metodologicznej zostaną opisane wymienione źródła oraz przedstawiona propozycja ich wykorzystania w rocznych badaniach przedsiębiorstw niefinansowych.</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Terminy realizacji pracy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rozpoczęcia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Kwiecień 2018</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zakończenia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Czerwiec 2020</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raport</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Pr>
        <w:sectPr w:rsidR="00FF2341">
          <w:headerReference w:type="default" r:id="rId21"/>
          <w:footerReference w:type="default" r:id="rId22"/>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zastosowania w statystyce</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Czerwiec 2020</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Raport z realizacji pracy metodologicznej zawierający opis źródeł danych, w tym zakres informacyjny, zakres podmiotowy, częstotliwość oraz analizę i ocenę możliwości ich pozyskiwania i wykorzystywania w rocznych badaniach przedsiębiorstw niefinansowych.</w:t>
                  </w: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Źródła danych</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Nowe źródła danych - inne</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Dane z bazy danych Ministerstwa Finansów pochodzące z deklaracji podatkowych CIT/TP, CIT/CFC, CBC-P oraz JPK_VAT.</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Wyniki badań</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pPr>
                              <w:bookmarkStart w:id="12" w:name="__bookmark_49"/>
                              <w:bookmarkEnd w:id="12"/>
                              <w:r>
                                <w:rPr>
                                  <w:rFonts w:ascii="Calibri" w:eastAsia="Calibri" w:hAnsi="Calibri" w:cs="Calibri"/>
                                  <w:color w:val="000000"/>
                                </w:rPr>
                                <w:t>1.61.05 Roczne badanie działalności gospodarczej przedsiębiorstw</w:t>
                              </w:r>
                            </w:p>
                          </w:tc>
                        </w:tr>
                        <w:tr w:rsidR="00FF2341" w:rsidTr="00DB5202">
                          <w:tc>
                            <w:tcPr>
                              <w:tcW w:w="10205"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1.61.12 Grupy przedsiębiorstw</w:t>
                              </w:r>
                            </w:p>
                          </w:tc>
                        </w:tr>
                        <w:tr w:rsidR="00FF2341" w:rsidTr="00DB5202">
                          <w:tc>
                            <w:tcPr>
                              <w:tcW w:w="10205"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1.61.15 Podmioty z kapitałem zagranicznym</w:t>
                              </w:r>
                            </w:p>
                          </w:tc>
                        </w:tr>
                        <w:tr w:rsidR="00FF2341" w:rsidTr="00DB5202">
                          <w:tc>
                            <w:tcPr>
                              <w:tcW w:w="10205"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1.61.16 Działalność podmiotów posiadających udziały w jednostkach z siedzibą za granicą</w:t>
                              </w:r>
                            </w:p>
                          </w:tc>
                        </w:tr>
                      </w:tbl>
                      <w:p w:rsidR="00FF2341" w:rsidRDefault="00FF2341" w:rsidP="00DB5202">
                        <w:pPr>
                          <w:spacing w:line="1" w:lineRule="auto"/>
                        </w:pP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Jednostki realizujące pracę</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autorska - wiodąca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13" w:name="__bookmark_50"/>
                        <w:bookmarkEnd w:id="13"/>
                        <w:r>
                          <w:rPr>
                            <w:rFonts w:ascii="Calibri" w:eastAsia="Calibri" w:hAnsi="Calibri" w:cs="Calibri"/>
                            <w:color w:val="000000"/>
                          </w:rPr>
                          <w:t>GUS - Departament Przedsiębiorstw</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Pr>
        <w:sectPr w:rsidR="00FF2341">
          <w:headerReference w:type="default" r:id="rId23"/>
          <w:footerReference w:type="default" r:id="rId24"/>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530"/>
              <w:gridCol w:w="8675"/>
            </w:tblGrid>
            <w:tr w:rsidR="00FF2341" w:rsidTr="00DB5202">
              <w:trPr>
                <w:trHeight w:val="342"/>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PRACA METODOLOGICZNA</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Id:</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46</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Symbol:</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3.250</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Tytuł:</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Wykorzystanie danych administracyjnych do estymacji wyników reprezentacyjnego badania mikroprzedsiębiorstw dla małych domen</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Obszar:</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statystyka gospodarcza</w:t>
                  </w:r>
                </w:p>
              </w:tc>
            </w:tr>
          </w:tbl>
          <w:p w:rsidR="00FF2341" w:rsidRDefault="00FF2341" w:rsidP="00DB5202">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Charakterystyka</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Cel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wykorzystanie nowych źródeł danych</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Opis celu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Wykorzystanie danych pochodzących ze źródeł administracyjnych do poprawy jakości estymowanych zmiennych z badania reprezentacyjnego prowadzonego na sprawozdaniu SP-3 Sprawozdanie o działalności gospodarczej przedsiębiorstw. Weryfikacja możliwości zastąpienia niektórych informacji pozyskiwanych na sprawozdaniu poprzez bezpośrednie wykorzystanie danych administracyjnych. Redukcja obowiązków sprawozdawczych.</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Uzasadnienie użyteczności - realizacja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potrzeb użytkowników</w:t>
                        </w:r>
                      </w:p>
                    </w:tc>
                  </w:tr>
                </w:tbl>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Zakres prowadzonych prac</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Opracowanie przez jednostkę autorską GUS metodologii wykorzystania administracyjnych źródeł danych w celu osiągnięcia zamierzonych rezultatów pracy metodologicznej. Praktyczne wdrożenie przez jednostkę współautorską zaproponowanych przez jednostkę autorską rozwiązań. Przygotowanie raportu z przeprowadzonych działań.</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Terminy realizacji pracy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rozpoczęcia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Lipiec 2018</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zakończenia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2019</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raport</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zastosowania w statystyce</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2019</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Opracowanie danych dla podstawowych zmiennych z badania SP-3 według przekrojów możliwych do estymacji, wyznaczonych w trakcie pracy metodologicznej.</w:t>
                  </w: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Źródła danych</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Istniejące źródła danych</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numPr>
                                  <w:ilvl w:val="0"/>
                                  <w:numId w:val="5"/>
                                </w:numPr>
                                <w:ind w:left="426" w:hanging="426"/>
                                <w:jc w:val="both"/>
                                <w:rPr>
                                  <w:rFonts w:ascii="Calibri" w:eastAsia="Calibri" w:hAnsi="Calibri" w:cs="Calibri"/>
                                  <w:color w:val="000000"/>
                                </w:rPr>
                              </w:pPr>
                              <w:bookmarkStart w:id="14" w:name="__bookmark_57"/>
                              <w:bookmarkEnd w:id="14"/>
                              <w:r>
                                <w:rPr>
                                  <w:rFonts w:ascii="Calibri" w:eastAsia="Calibri" w:hAnsi="Calibri" w:cs="Calibri"/>
                                  <w:color w:val="000000"/>
                                </w:rPr>
                                <w:t>Sprawozdanie o działalności gospodarczej przedsiębiorstw</w:t>
                              </w:r>
                            </w:p>
                          </w:tc>
                        </w:tr>
                        <w:tr w:rsidR="00FF2341" w:rsidTr="00DB5202">
                          <w:tc>
                            <w:tcPr>
                              <w:tcW w:w="10205" w:type="dxa"/>
                              <w:tcMar>
                                <w:top w:w="0" w:type="dxa"/>
                                <w:left w:w="0" w:type="dxa"/>
                                <w:bottom w:w="0" w:type="dxa"/>
                                <w:right w:w="0" w:type="dxa"/>
                              </w:tcMar>
                            </w:tcPr>
                            <w:p w:rsidR="00FF2341" w:rsidRDefault="00FF2341" w:rsidP="00DB5202">
                              <w:pPr>
                                <w:numPr>
                                  <w:ilvl w:val="0"/>
                                  <w:numId w:val="5"/>
                                </w:numPr>
                                <w:ind w:left="426" w:hanging="426"/>
                                <w:jc w:val="both"/>
                                <w:rPr>
                                  <w:rFonts w:ascii="Calibri" w:eastAsia="Calibri" w:hAnsi="Calibri" w:cs="Calibri"/>
                                  <w:color w:val="000000"/>
                                </w:rPr>
                              </w:pPr>
                              <w:r>
                                <w:rPr>
                                  <w:rFonts w:ascii="Calibri" w:eastAsia="Calibri" w:hAnsi="Calibri" w:cs="Calibri"/>
                                  <w:color w:val="000000"/>
                                </w:rPr>
                                <w:t>Baza danych o podatnikach podatku od towarów i usług</w:t>
                              </w:r>
                            </w:p>
                          </w:tc>
                        </w:tr>
                        <w:tr w:rsidR="00FF2341" w:rsidTr="00DB5202">
                          <w:tc>
                            <w:tcPr>
                              <w:tcW w:w="10205" w:type="dxa"/>
                              <w:tcMar>
                                <w:top w:w="0" w:type="dxa"/>
                                <w:left w:w="0" w:type="dxa"/>
                                <w:bottom w:w="0" w:type="dxa"/>
                                <w:right w:w="0" w:type="dxa"/>
                              </w:tcMar>
                            </w:tcPr>
                            <w:p w:rsidR="00FF2341" w:rsidRDefault="00FF2341" w:rsidP="00DB5202">
                              <w:pPr>
                                <w:numPr>
                                  <w:ilvl w:val="0"/>
                                  <w:numId w:val="5"/>
                                </w:numPr>
                                <w:ind w:left="426" w:hanging="426"/>
                                <w:jc w:val="both"/>
                                <w:rPr>
                                  <w:rFonts w:ascii="Calibri" w:eastAsia="Calibri" w:hAnsi="Calibri" w:cs="Calibri"/>
                                  <w:color w:val="000000"/>
                                </w:rPr>
                              </w:pPr>
                              <w:r>
                                <w:rPr>
                                  <w:rFonts w:ascii="Calibri" w:eastAsia="Calibri" w:hAnsi="Calibri" w:cs="Calibri"/>
                                  <w:color w:val="000000"/>
                                </w:rPr>
                                <w:t>Centralny Rejestr Podmiotów - Krajowa Ewidencja Podatników</w:t>
                              </w:r>
                            </w:p>
                          </w:tc>
                        </w:tr>
                        <w:tr w:rsidR="00FF2341" w:rsidTr="00DB5202">
                          <w:tc>
                            <w:tcPr>
                              <w:tcW w:w="10205" w:type="dxa"/>
                              <w:tcMar>
                                <w:top w:w="0" w:type="dxa"/>
                                <w:left w:w="0" w:type="dxa"/>
                                <w:bottom w:w="0" w:type="dxa"/>
                                <w:right w:w="0" w:type="dxa"/>
                              </w:tcMar>
                            </w:tcPr>
                            <w:p w:rsidR="00FF2341" w:rsidRDefault="00FF2341" w:rsidP="00DB5202">
                              <w:pPr>
                                <w:numPr>
                                  <w:ilvl w:val="0"/>
                                  <w:numId w:val="5"/>
                                </w:numPr>
                                <w:ind w:left="426" w:hanging="426"/>
                                <w:jc w:val="both"/>
                                <w:rPr>
                                  <w:rFonts w:ascii="Calibri" w:eastAsia="Calibri" w:hAnsi="Calibri" w:cs="Calibri"/>
                                  <w:color w:val="000000"/>
                                </w:rPr>
                              </w:pPr>
                              <w:r>
                                <w:rPr>
                                  <w:rFonts w:ascii="Calibri" w:eastAsia="Calibri" w:hAnsi="Calibri" w:cs="Calibri"/>
                                  <w:color w:val="000000"/>
                                </w:rPr>
                                <w:t>System Informacji Podatkowych - Baza danych o podatnikach podatku dochodowego od osób prawnych</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Pr>
        <w:sectPr w:rsidR="00FF2341">
          <w:headerReference w:type="default" r:id="rId25"/>
          <w:footerReference w:type="default" r:id="rId26"/>
          <w:pgSz w:w="11905" w:h="16837"/>
          <w:pgMar w:top="850" w:right="850" w:bottom="850" w:left="850" w:header="850" w:footer="850" w:gutter="0"/>
          <w:cols w:space="708"/>
        </w:sect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numPr>
                                  <w:ilvl w:val="0"/>
                                  <w:numId w:val="5"/>
                                </w:numPr>
                                <w:ind w:left="426" w:hanging="426"/>
                                <w:jc w:val="both"/>
                                <w:rPr>
                                  <w:rFonts w:ascii="Calibri" w:eastAsia="Calibri" w:hAnsi="Calibri" w:cs="Calibri"/>
                                  <w:color w:val="000000"/>
                                </w:rPr>
                              </w:pPr>
                              <w:r>
                                <w:rPr>
                                  <w:rFonts w:ascii="Calibri" w:eastAsia="Calibri" w:hAnsi="Calibri" w:cs="Calibri"/>
                                  <w:color w:val="000000"/>
                                </w:rPr>
                                <w:lastRenderedPageBreak/>
                                <w:t>System Informacji Podatkowych - Baza danych o podatnikach podatku dochodowego od osób fizycznych</w:t>
                              </w:r>
                            </w:p>
                          </w:tc>
                        </w:tr>
                        <w:tr w:rsidR="00FF2341" w:rsidTr="00DB5202">
                          <w:tc>
                            <w:tcPr>
                              <w:tcW w:w="10205" w:type="dxa"/>
                              <w:tcMar>
                                <w:top w:w="0" w:type="dxa"/>
                                <w:left w:w="0" w:type="dxa"/>
                                <w:bottom w:w="0" w:type="dxa"/>
                                <w:right w:w="0" w:type="dxa"/>
                              </w:tcMar>
                            </w:tcPr>
                            <w:p w:rsidR="00FF2341" w:rsidRDefault="00FF2341" w:rsidP="00DB5202">
                              <w:pPr>
                                <w:numPr>
                                  <w:ilvl w:val="0"/>
                                  <w:numId w:val="5"/>
                                </w:numPr>
                                <w:ind w:left="426" w:hanging="426"/>
                                <w:jc w:val="both"/>
                                <w:rPr>
                                  <w:rFonts w:ascii="Calibri" w:eastAsia="Calibri" w:hAnsi="Calibri" w:cs="Calibri"/>
                                  <w:color w:val="000000"/>
                                </w:rPr>
                              </w:pPr>
                              <w:r>
                                <w:rPr>
                                  <w:rFonts w:ascii="Calibri" w:eastAsia="Calibri" w:hAnsi="Calibri" w:cs="Calibri"/>
                                  <w:color w:val="000000"/>
                                </w:rPr>
                                <w:t>Kompleksowy System Informatyczny ZUS - Centralny Rejestr Ubezpieczonych</w:t>
                              </w:r>
                            </w:p>
                          </w:tc>
                        </w:tr>
                        <w:tr w:rsidR="00FF2341" w:rsidTr="00DB5202">
                          <w:tc>
                            <w:tcPr>
                              <w:tcW w:w="10205" w:type="dxa"/>
                              <w:tcMar>
                                <w:top w:w="0" w:type="dxa"/>
                                <w:left w:w="0" w:type="dxa"/>
                                <w:bottom w:w="0" w:type="dxa"/>
                                <w:right w:w="0" w:type="dxa"/>
                              </w:tcMar>
                            </w:tcPr>
                            <w:p w:rsidR="00FF2341" w:rsidRDefault="00FF2341" w:rsidP="00DB5202">
                              <w:pPr>
                                <w:numPr>
                                  <w:ilvl w:val="0"/>
                                  <w:numId w:val="5"/>
                                </w:numPr>
                                <w:ind w:left="426" w:hanging="426"/>
                                <w:jc w:val="both"/>
                                <w:rPr>
                                  <w:rFonts w:ascii="Calibri" w:eastAsia="Calibri" w:hAnsi="Calibri" w:cs="Calibri"/>
                                  <w:color w:val="000000"/>
                                </w:rPr>
                              </w:pPr>
                              <w:r>
                                <w:rPr>
                                  <w:rFonts w:ascii="Calibri" w:eastAsia="Calibri" w:hAnsi="Calibri" w:cs="Calibri"/>
                                  <w:color w:val="000000"/>
                                </w:rPr>
                                <w:t>Kompleksowy System Informatyczny ZUS - Centralny Rejestr Płatników Składek</w:t>
                              </w:r>
                            </w:p>
                          </w:tc>
                        </w:tr>
                      </w:tbl>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Okres referencyjny danych</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2016</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Jednostki realizujące pracę</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autorska - wiodąca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15" w:name="__bookmark_60"/>
                        <w:bookmarkEnd w:id="15"/>
                        <w:r>
                          <w:rPr>
                            <w:rFonts w:ascii="Calibri" w:eastAsia="Calibri" w:hAnsi="Calibri" w:cs="Calibri"/>
                            <w:color w:val="000000"/>
                          </w:rPr>
                          <w:t>GUS - Departament Przedsiębiorstw</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współautorska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16" w:name="__bookmark_61"/>
                        <w:bookmarkEnd w:id="16"/>
                        <w:r>
                          <w:rPr>
                            <w:rFonts w:ascii="Calibri" w:eastAsia="Calibri" w:hAnsi="Calibri" w:cs="Calibri"/>
                            <w:color w:val="000000"/>
                          </w:rPr>
                          <w:t>Urząd Statystyczny w Łodzi</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Pr>
        <w:sectPr w:rsidR="00FF2341">
          <w:headerReference w:type="default" r:id="rId27"/>
          <w:footerReference w:type="default" r:id="rId28"/>
          <w:pgSz w:w="11905" w:h="16837"/>
          <w:pgMar w:top="850" w:right="850" w:bottom="850" w:left="850" w:header="850" w:footer="850" w:gutter="0"/>
          <w:cols w:space="708"/>
        </w:sectPr>
      </w:pPr>
      <w:bookmarkStart w:id="17" w:name="_GoBack"/>
      <w:bookmarkEnd w:id="17"/>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530"/>
              <w:gridCol w:w="8675"/>
            </w:tblGrid>
            <w:tr w:rsidR="00FF2341" w:rsidTr="00DB5202">
              <w:trPr>
                <w:trHeight w:val="342"/>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lastRenderedPageBreak/>
                    <w:t>PRACA METODOLOGICZNA</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Id:</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49</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Symbol:</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3.251</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Tytuł:</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Wpływ outsourcingu na produktywność przedsiębiorstw</w:t>
                  </w:r>
                </w:p>
              </w:tc>
            </w:tr>
            <w:tr w:rsidR="00FF2341" w:rsidTr="00DB5202">
              <w:tc>
                <w:tcPr>
                  <w:tcW w:w="1530" w:type="dxa"/>
                  <w:tcMar>
                    <w:top w:w="0" w:type="dxa"/>
                    <w:left w:w="0" w:type="dxa"/>
                    <w:bottom w:w="0" w:type="dxa"/>
                    <w:right w:w="0" w:type="dxa"/>
                  </w:tcMar>
                </w:tcPr>
                <w:p w:rsidR="00FF2341" w:rsidRDefault="00FF2341" w:rsidP="00DB5202">
                  <w:pPr>
                    <w:rPr>
                      <w:rFonts w:ascii="Calibri" w:eastAsia="Calibri" w:hAnsi="Calibri" w:cs="Calibri"/>
                      <w:b/>
                      <w:bCs/>
                      <w:color w:val="000000"/>
                      <w:sz w:val="24"/>
                      <w:szCs w:val="24"/>
                    </w:rPr>
                  </w:pPr>
                  <w:r>
                    <w:rPr>
                      <w:rFonts w:ascii="Calibri" w:eastAsia="Calibri" w:hAnsi="Calibri" w:cs="Calibri"/>
                      <w:b/>
                      <w:bCs/>
                      <w:color w:val="000000"/>
                      <w:sz w:val="24"/>
                      <w:szCs w:val="24"/>
                    </w:rPr>
                    <w:t>Obszar:</w:t>
                  </w:r>
                </w:p>
              </w:tc>
              <w:tc>
                <w:tcPr>
                  <w:tcW w:w="8675" w:type="dxa"/>
                  <w:tcMar>
                    <w:top w:w="0" w:type="dxa"/>
                    <w:left w:w="0" w:type="dxa"/>
                    <w:bottom w:w="0" w:type="dxa"/>
                    <w:right w:w="0" w:type="dxa"/>
                  </w:tcMar>
                  <w:vAlign w:val="center"/>
                </w:tcPr>
                <w:p w:rsidR="00FF2341" w:rsidRDefault="00FF2341" w:rsidP="00DB5202">
                  <w:pPr>
                    <w:jc w:val="both"/>
                    <w:rPr>
                      <w:rFonts w:ascii="Calibri" w:eastAsia="Calibri" w:hAnsi="Calibri" w:cs="Calibri"/>
                      <w:color w:val="000000"/>
                    </w:rPr>
                  </w:pPr>
                  <w:r>
                    <w:rPr>
                      <w:rFonts w:ascii="Calibri" w:eastAsia="Calibri" w:hAnsi="Calibri" w:cs="Calibri"/>
                      <w:color w:val="000000"/>
                    </w:rPr>
                    <w:t>statystyka gospodarcza</w:t>
                  </w:r>
                </w:p>
              </w:tc>
            </w:tr>
          </w:tbl>
          <w:p w:rsidR="00FF2341" w:rsidRDefault="00FF2341" w:rsidP="00DB5202">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Charakterystyka</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Cel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szacunki</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Opis celu prowadzenia pracy</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Głównym celem pracy będzie opracowanie metodyki szacowania wpływu zjawiska outsourcingu usług na produktywność przedsiębiorstw w Polsce, tj. ustalenie zależności występujących pomiędzy zmianami w zakupach usług obcych a zmianami w całkowitej produktywności czynników produkcji.</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Uzasadnienie użyteczności - realizacja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r>
                          <w:rPr>
                            <w:rFonts w:ascii="Calibri" w:eastAsia="Calibri" w:hAnsi="Calibri" w:cs="Calibri"/>
                            <w:color w:val="000000"/>
                          </w:rPr>
                          <w:t>potrzeb użytkowników</w:t>
                        </w:r>
                      </w:p>
                    </w:tc>
                  </w:tr>
                  <w:tr w:rsidR="00FF2341" w:rsidTr="00DB5202">
                    <w:trPr>
                      <w:trHeight w:val="244"/>
                    </w:trPr>
                    <w:tc>
                      <w:tcPr>
                        <w:tcW w:w="10205" w:type="dxa"/>
                        <w:gridSpan w:val="2"/>
                        <w:vMerge w:val="restart"/>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Opracowanie metodyki szacowania wpływu outsourcingu usług na produktywność przedsiębiorstw w Polsce umożliwi skwantyfikowanie zależności występujących pomiędzy zakupem usług obcych a wzrostem produktywności przedsiębiorstw z nich korzystających. Wzrost efektywności funkcjonowania przedsiębiorstw jest wymieniany jako jeden z celów stosowania outsourcingu. Z kolei outsourcing usług przyczynia się do rozwoju tego sektora gospodarki narodowej. Wyniki pracy metodologicznej zostaną wykorzystane przy analizie rynku usług w Polsce.</w:t>
                        </w:r>
                      </w:p>
                    </w:tc>
                  </w:tr>
                </w:tbl>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Zakres prowadzonych prac</w:t>
                  </w:r>
                </w:p>
              </w:tc>
            </w:tr>
            <w:tr w:rsidR="00FF2341" w:rsidTr="00DB5202">
              <w:tc>
                <w:tcPr>
                  <w:tcW w:w="10205" w:type="dxa"/>
                  <w:tcMar>
                    <w:top w:w="0" w:type="dxa"/>
                    <w:left w:w="0" w:type="dxa"/>
                    <w:bottom w:w="0" w:type="dxa"/>
                    <w:right w:w="0" w:type="dxa"/>
                  </w:tcMar>
                </w:tcPr>
                <w:p w:rsidR="00FF2341" w:rsidRDefault="00FF2341" w:rsidP="00DB5202">
                  <w:pPr>
                    <w:numPr>
                      <w:ilvl w:val="0"/>
                      <w:numId w:val="7"/>
                    </w:numPr>
                    <w:ind w:left="426"/>
                    <w:jc w:val="both"/>
                    <w:rPr>
                      <w:rFonts w:ascii="Calibri" w:eastAsia="Calibri" w:hAnsi="Calibri" w:cs="Calibri"/>
                      <w:color w:val="000000"/>
                    </w:rPr>
                  </w:pPr>
                  <w:r>
                    <w:rPr>
                      <w:rFonts w:ascii="Calibri" w:eastAsia="Calibri" w:hAnsi="Calibri" w:cs="Calibri"/>
                      <w:color w:val="000000"/>
                    </w:rPr>
                    <w:t>Przegląd literatury przedmiotu i wybór narzędzi badawczych</w:t>
                  </w:r>
                </w:p>
                <w:p w:rsidR="00FF2341" w:rsidRDefault="00FF2341" w:rsidP="00DB5202">
                  <w:pPr>
                    <w:numPr>
                      <w:ilvl w:val="0"/>
                      <w:numId w:val="7"/>
                    </w:numPr>
                    <w:ind w:left="426"/>
                    <w:jc w:val="both"/>
                    <w:rPr>
                      <w:rFonts w:ascii="Calibri" w:eastAsia="Calibri" w:hAnsi="Calibri" w:cs="Calibri"/>
                      <w:color w:val="000000"/>
                    </w:rPr>
                  </w:pPr>
                  <w:r>
                    <w:rPr>
                      <w:rFonts w:ascii="Calibri" w:eastAsia="Calibri" w:hAnsi="Calibri" w:cs="Calibri"/>
                      <w:color w:val="000000"/>
                    </w:rPr>
                    <w:t>Oszacowanie produktywności przedsiębiorstw przy uwzględnieniu zasobów informacji dostępnych w statystyce publicznej</w:t>
                  </w:r>
                </w:p>
                <w:p w:rsidR="00FF2341" w:rsidRDefault="00FF2341" w:rsidP="00DB5202">
                  <w:pPr>
                    <w:numPr>
                      <w:ilvl w:val="0"/>
                      <w:numId w:val="7"/>
                    </w:numPr>
                    <w:ind w:left="426"/>
                    <w:jc w:val="both"/>
                    <w:rPr>
                      <w:rFonts w:ascii="Calibri" w:eastAsia="Calibri" w:hAnsi="Calibri" w:cs="Calibri"/>
                      <w:color w:val="000000"/>
                    </w:rPr>
                  </w:pPr>
                  <w:r>
                    <w:rPr>
                      <w:rFonts w:ascii="Calibri" w:eastAsia="Calibri" w:hAnsi="Calibri" w:cs="Calibri"/>
                      <w:color w:val="000000"/>
                    </w:rPr>
                    <w:t>Ustalenie zależności występujących pomiędzy zakupami usług obcych ogółem a produktywnością przedsiębiorstw z uwzględnieniem rodzaju prowadzonej działalności gospodarczej, wielkości przedsiębiorstw mierzonej liczbą pracujących oraz lokalizacji usługodawców (kraj/zagranica)</w:t>
                  </w:r>
                </w:p>
                <w:p w:rsidR="00FF2341" w:rsidRDefault="00FF2341" w:rsidP="00DB5202">
                  <w:pPr>
                    <w:numPr>
                      <w:ilvl w:val="0"/>
                      <w:numId w:val="7"/>
                    </w:numPr>
                    <w:ind w:left="426"/>
                    <w:jc w:val="both"/>
                    <w:rPr>
                      <w:rFonts w:ascii="Calibri" w:eastAsia="Calibri" w:hAnsi="Calibri" w:cs="Calibri"/>
                      <w:color w:val="000000"/>
                    </w:rPr>
                  </w:pPr>
                  <w:r>
                    <w:rPr>
                      <w:rFonts w:ascii="Calibri" w:eastAsia="Calibri" w:hAnsi="Calibri" w:cs="Calibri"/>
                      <w:color w:val="000000"/>
                    </w:rPr>
                    <w:t>Ocena wpływu zakupu usług związanych z obsługą działalności gospodarczej na produktywność z uwzględnieniem rodzaju nabywanych usług</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Terminy realizacji pracy</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rozpoczęcia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Styczeń 2019</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zakończenia pracy</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2019</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00FF2341" w:rsidTr="00DB5202">
                    <w:tc>
                      <w:tcPr>
                        <w:tcW w:w="408"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 xml:space="preserve">• </w:t>
                        </w:r>
                      </w:p>
                    </w:tc>
                    <w:tc>
                      <w:tcPr>
                        <w:tcW w:w="9797" w:type="dxa"/>
                        <w:tcMar>
                          <w:top w:w="0" w:type="dxa"/>
                          <w:left w:w="0" w:type="dxa"/>
                          <w:bottom w:w="0" w:type="dxa"/>
                          <w:right w:w="0" w:type="dxa"/>
                        </w:tcMar>
                      </w:tcPr>
                      <w:p w:rsidR="00FF2341" w:rsidRDefault="00FF2341" w:rsidP="00DB5202">
                        <w:pPr>
                          <w:jc w:val="both"/>
                        </w:pPr>
                        <w:r>
                          <w:rPr>
                            <w:rFonts w:ascii="Calibri" w:eastAsia="Calibri" w:hAnsi="Calibri" w:cs="Calibri"/>
                            <w:color w:val="000000"/>
                          </w:rPr>
                          <w:t>metodyka realizacji badania</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Termin i forma zastosowania w statystyce</w:t>
                  </w:r>
                </w:p>
              </w:tc>
            </w:tr>
            <w:tr w:rsidR="00FF2341" w:rsidTr="00DB5202">
              <w:tc>
                <w:tcPr>
                  <w:tcW w:w="10205" w:type="dxa"/>
                  <w:tcMar>
                    <w:top w:w="0" w:type="dxa"/>
                    <w:left w:w="0" w:type="dxa"/>
                    <w:bottom w:w="0" w:type="dxa"/>
                    <w:right w:w="0" w:type="dxa"/>
                  </w:tcMar>
                </w:tcPr>
                <w:p w:rsidR="00FF2341" w:rsidRDefault="00FF2341" w:rsidP="00DB5202">
                  <w:r>
                    <w:rPr>
                      <w:rFonts w:ascii="Calibri" w:eastAsia="Calibri" w:hAnsi="Calibri" w:cs="Calibri"/>
                      <w:color w:val="000000"/>
                    </w:rPr>
                    <w:t>Grudzień 2019</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Opracowanie eksperymentalne prezentujące wyniki oszacowania wpływu outsourcingu usług na produktywność przedsiębiorstw udostępnione na stronie GUS jako praca studialna.</w:t>
                  </w: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Źródła danych</w:t>
                  </w:r>
                </w:p>
              </w:tc>
            </w:tr>
          </w:tbl>
          <w:p w:rsidR="00FF2341" w:rsidRDefault="00FF2341" w:rsidP="00DB5202">
            <w:pPr>
              <w:spacing w:line="1" w:lineRule="auto"/>
            </w:pPr>
          </w:p>
        </w:tc>
      </w:tr>
    </w:tbl>
    <w:p w:rsidR="00FF2341" w:rsidRDefault="00FF2341" w:rsidP="00FF2341">
      <w:pPr>
        <w:sectPr w:rsidR="00FF2341">
          <w:headerReference w:type="default" r:id="rId29"/>
          <w:footerReference w:type="default" r:id="rId30"/>
          <w:pgSz w:w="11905" w:h="16837"/>
          <w:pgMar w:top="850" w:right="850" w:bottom="850" w:left="850" w:header="850" w:footer="850" w:gutter="0"/>
          <w:cols w:space="708"/>
        </w:sectPr>
      </w:pPr>
    </w:p>
    <w:p w:rsidR="00FF2341" w:rsidRDefault="00FF2341" w:rsidP="00FF2341">
      <w:pPr>
        <w:rPr>
          <w:vanish/>
        </w:rPr>
      </w:pPr>
    </w:p>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Istniejące źródła danych</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bookmarkStart w:id="18" w:name="__bookmark_67"/>
                              <w:bookmarkEnd w:id="18"/>
                              <w:r>
                                <w:rPr>
                                  <w:rFonts w:ascii="Calibri" w:eastAsia="Calibri" w:hAnsi="Calibri" w:cs="Calibri"/>
                                  <w:color w:val="000000"/>
                                </w:rPr>
                                <w:t>roczna ankieta przedsiębiorstwa</w:t>
                              </w:r>
                            </w:p>
                          </w:tc>
                        </w:tr>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r>
                                <w:rPr>
                                  <w:rFonts w:ascii="Calibri" w:eastAsia="Calibri" w:hAnsi="Calibri" w:cs="Calibri"/>
                                  <w:color w:val="000000"/>
                                </w:rPr>
                                <w:t>sprawozdanie o zakupie usług</w:t>
                              </w:r>
                            </w:p>
                          </w:tc>
                        </w:tr>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r>
                                <w:rPr>
                                  <w:rFonts w:ascii="Calibri" w:eastAsia="Calibri" w:hAnsi="Calibri" w:cs="Calibri"/>
                                  <w:color w:val="000000"/>
                                </w:rPr>
                                <w:t>sprawozdanie o cenach producentów usług transportu, gospodarki magazynowej i telekomunikacji</w:t>
                              </w:r>
                            </w:p>
                          </w:tc>
                        </w:tr>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r>
                                <w:rPr>
                                  <w:rFonts w:ascii="Calibri" w:eastAsia="Calibri" w:hAnsi="Calibri" w:cs="Calibri"/>
                                  <w:color w:val="000000"/>
                                </w:rPr>
                                <w:t>sprawozdanie o cenach producentów usług</w:t>
                              </w:r>
                            </w:p>
                          </w:tc>
                        </w:tr>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r>
                                <w:rPr>
                                  <w:rFonts w:ascii="Calibri" w:eastAsia="Calibri" w:hAnsi="Calibri" w:cs="Calibri"/>
                                  <w:color w:val="000000"/>
                                </w:rPr>
                                <w:t>sprawozdanie o cenach producentów usług związanych z zatrudnieniem</w:t>
                              </w:r>
                            </w:p>
                          </w:tc>
                        </w:tr>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r>
                                <w:rPr>
                                  <w:rFonts w:ascii="Calibri" w:eastAsia="Calibri" w:hAnsi="Calibri" w:cs="Calibri"/>
                                  <w:color w:val="000000"/>
                                </w:rPr>
                                <w:t>sprawozdanie o wartości zużytych materiałów, energii i usług obcych oraz zapasów materiałów</w:t>
                              </w:r>
                            </w:p>
                          </w:tc>
                        </w:tr>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r>
                                <w:rPr>
                                  <w:rFonts w:ascii="Calibri" w:eastAsia="Calibri" w:hAnsi="Calibri" w:cs="Calibri"/>
                                  <w:color w:val="000000"/>
                                </w:rPr>
                                <w:t>roczne sprawozdanie o międzynarodowej wymianie usług</w:t>
                              </w:r>
                            </w:p>
                          </w:tc>
                        </w:tr>
                        <w:tr w:rsidR="00FF2341" w:rsidTr="00DB5202">
                          <w:tc>
                            <w:tcPr>
                              <w:tcW w:w="10205" w:type="dxa"/>
                              <w:tcMar>
                                <w:top w:w="0" w:type="dxa"/>
                                <w:left w:w="0" w:type="dxa"/>
                                <w:bottom w:w="0" w:type="dxa"/>
                                <w:right w:w="0" w:type="dxa"/>
                              </w:tcMar>
                            </w:tcPr>
                            <w:p w:rsidR="00FF2341" w:rsidRDefault="00FF2341" w:rsidP="00DB5202">
                              <w:pPr>
                                <w:numPr>
                                  <w:ilvl w:val="0"/>
                                  <w:numId w:val="8"/>
                                </w:numPr>
                                <w:ind w:left="426"/>
                                <w:jc w:val="both"/>
                                <w:rPr>
                                  <w:rFonts w:ascii="Calibri" w:eastAsia="Calibri" w:hAnsi="Calibri" w:cs="Calibri"/>
                                  <w:color w:val="000000"/>
                                </w:rPr>
                              </w:pPr>
                              <w:r>
                                <w:rPr>
                                  <w:rFonts w:ascii="Calibri" w:eastAsia="Calibri" w:hAnsi="Calibri" w:cs="Calibri"/>
                                  <w:color w:val="000000"/>
                                </w:rPr>
                                <w:t>kwartalne sprawozdanie o międzynarodowej wymianie usług</w:t>
                              </w:r>
                            </w:p>
                          </w:tc>
                        </w:tr>
                      </w:tbl>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0" w:type="dxa"/>
                      </w:tcPr>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Okres referencyjny danych</w:t>
                        </w:r>
                      </w:p>
                    </w:tc>
                  </w:tr>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r>
                          <w:rPr>
                            <w:rFonts w:ascii="Calibri" w:eastAsia="Calibri" w:hAnsi="Calibri" w:cs="Calibri"/>
                            <w:color w:val="000000"/>
                          </w:rPr>
                          <w:t>2010-2015</w:t>
                        </w:r>
                      </w:p>
                    </w:tc>
                  </w:tr>
                </w:tbl>
                <w:p w:rsidR="00FF2341" w:rsidRDefault="00FF2341" w:rsidP="00DB5202">
                  <w:pPr>
                    <w:spacing w:line="1" w:lineRule="auto"/>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color w:val="000000"/>
                      <w:sz w:val="28"/>
                      <w:szCs w:val="28"/>
                    </w:rPr>
                  </w:pPr>
                  <w:r>
                    <w:rPr>
                      <w:rFonts w:ascii="Calibri" w:eastAsia="Calibri" w:hAnsi="Calibri" w:cs="Calibri"/>
                      <w:b/>
                      <w:bCs/>
                      <w:color w:val="000000"/>
                      <w:sz w:val="28"/>
                      <w:szCs w:val="28"/>
                    </w:rPr>
                    <w:t>Jednostki realizujące pracę</w:t>
                  </w: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color w:val="000000"/>
                    </w:rPr>
                  </w:pPr>
                </w:p>
              </w:tc>
            </w:tr>
            <w:tr w:rsidR="00FF2341" w:rsidTr="00DB5202">
              <w:tc>
                <w:tcPr>
                  <w:tcW w:w="10205" w:type="dxa"/>
                  <w:tcMar>
                    <w:top w:w="0" w:type="dxa"/>
                    <w:left w:w="0" w:type="dxa"/>
                    <w:bottom w:w="0" w:type="dxa"/>
                    <w:right w:w="0" w:type="dxa"/>
                  </w:tcMar>
                </w:tcPr>
                <w:p w:rsidR="00FF2341" w:rsidRDefault="00FF2341" w:rsidP="00DB5202">
                  <w:pPr>
                    <w:rPr>
                      <w:rFonts w:ascii="Calibri" w:eastAsia="Calibri" w:hAnsi="Calibri" w:cs="Calibri"/>
                      <w:b/>
                      <w:bCs/>
                      <w:i/>
                      <w:iCs/>
                      <w:color w:val="000000"/>
                      <w:sz w:val="24"/>
                      <w:szCs w:val="24"/>
                    </w:rPr>
                  </w:pPr>
                  <w:r>
                    <w:rPr>
                      <w:rFonts w:ascii="Calibri" w:eastAsia="Calibri" w:hAnsi="Calibri" w:cs="Calibri"/>
                      <w:b/>
                      <w:bCs/>
                      <w:i/>
                      <w:iCs/>
                      <w:color w:val="000000"/>
                      <w:sz w:val="24"/>
                      <w:szCs w:val="24"/>
                    </w:rPr>
                    <w:t>Jednostka autorska - wiodąca</w:t>
                  </w:r>
                </w:p>
              </w:tc>
            </w:tr>
            <w:tr w:rsidR="00FF2341" w:rsidTr="00DB5202">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00FF2341" w:rsidTr="00DB5202">
                    <w:tc>
                      <w:tcPr>
                        <w:tcW w:w="10205" w:type="dxa"/>
                        <w:tcMar>
                          <w:top w:w="0" w:type="dxa"/>
                          <w:left w:w="0" w:type="dxa"/>
                          <w:bottom w:w="0" w:type="dxa"/>
                          <w:right w:w="0" w:type="dxa"/>
                        </w:tcMar>
                      </w:tcPr>
                      <w:p w:rsidR="00FF2341" w:rsidRDefault="00FF2341" w:rsidP="00DB5202">
                        <w:pPr>
                          <w:jc w:val="both"/>
                          <w:rPr>
                            <w:rFonts w:ascii="Calibri" w:eastAsia="Calibri" w:hAnsi="Calibri" w:cs="Calibri"/>
                            <w:color w:val="000000"/>
                          </w:rPr>
                        </w:pPr>
                        <w:bookmarkStart w:id="19" w:name="__bookmark_70"/>
                        <w:bookmarkEnd w:id="19"/>
                        <w:r>
                          <w:rPr>
                            <w:rFonts w:ascii="Calibri" w:eastAsia="Calibri" w:hAnsi="Calibri" w:cs="Calibri"/>
                            <w:color w:val="000000"/>
                          </w:rPr>
                          <w:t>GUS - Departament Handlu i Usług</w:t>
                        </w:r>
                      </w:p>
                    </w:tc>
                  </w:tr>
                </w:tbl>
                <w:p w:rsidR="00FF2341" w:rsidRDefault="00FF2341" w:rsidP="00DB5202">
                  <w:pPr>
                    <w:spacing w:line="1" w:lineRule="auto"/>
                  </w:pPr>
                </w:p>
              </w:tc>
            </w:tr>
          </w:tbl>
          <w:p w:rsidR="00FF2341" w:rsidRDefault="00FF2341" w:rsidP="00DB5202">
            <w:pPr>
              <w:spacing w:line="1" w:lineRule="auto"/>
            </w:pPr>
          </w:p>
        </w:tc>
      </w:tr>
    </w:tbl>
    <w:p w:rsidR="00FF2341" w:rsidRDefault="00FF2341" w:rsidP="00FF2341"/>
    <w:p w:rsidR="00FF2341" w:rsidRDefault="00FF2341" w:rsidP="00FF2341"/>
    <w:p w:rsidR="000C2E52" w:rsidRDefault="000C2E52"/>
    <w:sectPr w:rsidR="000C2E52" w:rsidSect="00FE350C">
      <w:headerReference w:type="default" r:id="rId31"/>
      <w:footerReference w:type="default" r:id="rId32"/>
      <w:pgSz w:w="11905" w:h="16837"/>
      <w:pgMar w:top="850" w:right="850" w:bottom="850" w:left="850" w:header="850" w:footer="85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FE350C">
      <w:trPr>
        <w:trHeight w:val="720"/>
      </w:trPr>
      <w:tc>
        <w:tcPr>
          <w:tcW w:w="11735" w:type="dxa"/>
        </w:tcPr>
        <w:p w:rsidR="00FE350C" w:rsidRDefault="00FF2341" w:rsidP="00FE350C"/>
        <w:tbl>
          <w:tblPr>
            <w:tblW w:w="11520" w:type="dxa"/>
            <w:tblLayout w:type="fixed"/>
            <w:tblCellMar>
              <w:left w:w="0" w:type="dxa"/>
              <w:right w:w="0" w:type="dxa"/>
            </w:tblCellMar>
            <w:tblLook w:val="01E0" w:firstRow="1" w:lastRow="1" w:firstColumn="1" w:lastColumn="1" w:noHBand="0" w:noVBand="0"/>
          </w:tblPr>
          <w:tblGrid>
            <w:gridCol w:w="11520"/>
          </w:tblGrid>
          <w:tr w:rsidR="00FE350C">
            <w:tc>
              <w:tcPr>
                <w:tcW w:w="11520" w:type="dxa"/>
                <w:tcMar>
                  <w:top w:w="0" w:type="dxa"/>
                  <w:left w:w="0" w:type="dxa"/>
                  <w:bottom w:w="0" w:type="dxa"/>
                  <w:right w:w="0" w:type="dxa"/>
                </w:tcMar>
              </w:tcPr>
              <w:p w:rsidR="00FE350C" w:rsidRDefault="00FF2341" w:rsidP="00FE350C"/>
              <w:p w:rsidR="00FE350C" w:rsidRDefault="00FF2341" w:rsidP="00FE350C"/>
            </w:tc>
          </w:tr>
        </w:tbl>
        <w:p w:rsidR="00FE350C" w:rsidRDefault="00FF2341" w:rsidP="00FE350C"/>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FE350C">
      <w:trPr>
        <w:trHeight w:val="720"/>
      </w:trPr>
      <w:tc>
        <w:tcPr>
          <w:tcW w:w="11735" w:type="dxa"/>
        </w:tcPr>
        <w:p w:rsidR="00FE350C" w:rsidRDefault="00FF2341" w:rsidP="00FE350C"/>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FE350C">
      <w:trPr>
        <w:trHeight w:val="566"/>
      </w:trPr>
      <w:tc>
        <w:tcPr>
          <w:tcW w:w="10420" w:type="dxa"/>
        </w:tcPr>
        <w:p w:rsidR="00FE350C" w:rsidRDefault="00FF2341">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C44F1"/>
    <w:multiLevelType w:val="hybridMultilevel"/>
    <w:tmpl w:val="079C5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3E21D8"/>
    <w:multiLevelType w:val="hybridMultilevel"/>
    <w:tmpl w:val="15E41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97C4D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723B78"/>
    <w:multiLevelType w:val="hybridMultilevel"/>
    <w:tmpl w:val="3FFAEBE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15:restartNumberingAfterBreak="0">
    <w:nsid w:val="1EC65582"/>
    <w:multiLevelType w:val="hybridMultilevel"/>
    <w:tmpl w:val="40B2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D509D8"/>
    <w:multiLevelType w:val="hybridMultilevel"/>
    <w:tmpl w:val="90EC3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6A524C"/>
    <w:multiLevelType w:val="hybridMultilevel"/>
    <w:tmpl w:val="9E828834"/>
    <w:lvl w:ilvl="0" w:tplc="75165B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6B0C7A"/>
    <w:multiLevelType w:val="hybridMultilevel"/>
    <w:tmpl w:val="B84A6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41"/>
    <w:rsid w:val="000C2E52"/>
    <w:rsid w:val="00FF2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DA8BA-1E09-4A37-8640-689BAACD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234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4">
    <w:name w:val="toc 4"/>
    <w:autoRedefine/>
    <w:rsid w:val="00FF2341"/>
    <w:pPr>
      <w:spacing w:after="0" w:line="240" w:lineRule="auto"/>
    </w:pPr>
    <w:rPr>
      <w:rFonts w:ascii="Times New Roman" w:eastAsia="Times New Roman" w:hAnsi="Times New Roman" w:cs="Times New Roman"/>
      <w:sz w:val="20"/>
      <w:szCs w:val="20"/>
      <w:lang w:eastAsia="pl-PL"/>
    </w:rPr>
  </w:style>
  <w:style w:type="character" w:styleId="Hipercze">
    <w:name w:val="Hyperlink"/>
    <w:rsid w:val="00FF2341"/>
    <w:rPr>
      <w:color w:val="0000FF"/>
      <w:u w:val="single"/>
    </w:rPr>
  </w:style>
  <w:style w:type="paragraph" w:styleId="Tekstdymka">
    <w:name w:val="Balloon Text"/>
    <w:basedOn w:val="Normalny"/>
    <w:link w:val="TekstdymkaZnak"/>
    <w:rsid w:val="00FF2341"/>
    <w:rPr>
      <w:rFonts w:ascii="Segoe UI" w:hAnsi="Segoe UI" w:cs="Segoe UI"/>
      <w:sz w:val="18"/>
      <w:szCs w:val="18"/>
    </w:rPr>
  </w:style>
  <w:style w:type="character" w:customStyle="1" w:styleId="TekstdymkaZnak">
    <w:name w:val="Tekst dymka Znak"/>
    <w:basedOn w:val="Domylnaczcionkaakapitu"/>
    <w:link w:val="Tekstdymka"/>
    <w:rsid w:val="00FF2341"/>
    <w:rPr>
      <w:rFonts w:ascii="Segoe UI" w:eastAsia="Times New Roman" w:hAnsi="Segoe UI" w:cs="Segoe UI"/>
      <w:sz w:val="18"/>
      <w:szCs w:val="18"/>
      <w:lang w:eastAsia="pl-PL"/>
    </w:rPr>
  </w:style>
  <w:style w:type="paragraph" w:styleId="Akapitzlist">
    <w:name w:val="List Paragraph"/>
    <w:basedOn w:val="Normalny"/>
    <w:qFormat/>
    <w:rsid w:val="00FF2341"/>
    <w:pPr>
      <w:ind w:left="720"/>
      <w:contextualSpacing/>
    </w:pPr>
    <w:rPr>
      <w:rFonts w:eastAsia="Arial"/>
      <w:i/>
      <w:color w:val="000000"/>
      <w:sz w:val="36"/>
      <w:szCs w:val="36"/>
      <w:lang w:eastAsia="zh-CN"/>
    </w:rPr>
  </w:style>
  <w:style w:type="paragraph" w:styleId="Tekstkomentarza">
    <w:name w:val="annotation text"/>
    <w:basedOn w:val="Normalny"/>
    <w:link w:val="TekstkomentarzaZnak"/>
    <w:rsid w:val="00FF2341"/>
    <w:pPr>
      <w:widowControl w:val="0"/>
      <w:jc w:val="both"/>
    </w:pPr>
    <w:rPr>
      <w:rFonts w:ascii="Arial" w:eastAsia="Arial" w:hAnsi="Arial" w:cs="Arial"/>
      <w:i/>
      <w:color w:val="000000"/>
      <w:sz w:val="36"/>
      <w:szCs w:val="36"/>
    </w:rPr>
  </w:style>
  <w:style w:type="character" w:customStyle="1" w:styleId="TekstkomentarzaZnak">
    <w:name w:val="Tekst komentarza Znak"/>
    <w:basedOn w:val="Domylnaczcionkaakapitu"/>
    <w:link w:val="Tekstkomentarza"/>
    <w:rsid w:val="00FF2341"/>
    <w:rPr>
      <w:rFonts w:ascii="Arial" w:eastAsia="Arial" w:hAnsi="Arial" w:cs="Arial"/>
      <w:i/>
      <w:color w:val="000000"/>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image" Target="cid:image001.png@01D4865C.6E94B660" TargetMode="Externa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image" Target="media/image1.png"/><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4078</Words>
  <Characters>24474</Characters>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prac metodologicznych na 2019 r. (listopad 2018 r.)</dc:title>
  <dc:subject/>
  <dc:creator>Główny Urząd Statystyczny</dc:creator>
  <cp:keywords/>
  <dc:description/>
  <dcterms:created xsi:type="dcterms:W3CDTF">2018-12-05T08:43:00Z</dcterms:created>
  <dcterms:modified xsi:type="dcterms:W3CDTF">2018-12-05T08:45:00Z</dcterms:modified>
</cp:coreProperties>
</file>